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30" w:rsidRPr="009D6BF8" w:rsidRDefault="00FE6272" w:rsidP="00590230">
      <w:pPr>
        <w:pStyle w:val="Heading3"/>
        <w:jc w:val="right"/>
        <w:rPr>
          <w:sz w:val="24"/>
        </w:rPr>
      </w:pPr>
      <w:bookmarkStart w:id="0" w:name="_Toc42243970"/>
      <w:r w:rsidRPr="00590230">
        <w:rPr>
          <w:sz w:val="24"/>
        </w:rPr>
        <w:t xml:space="preserve">ПРИЛОЖЕНИЕ </w:t>
      </w:r>
      <w:r w:rsidR="001F6E7A" w:rsidRPr="009D6BF8">
        <w:rPr>
          <w:sz w:val="24"/>
        </w:rPr>
        <w:t>3</w:t>
      </w:r>
    </w:p>
    <w:p w:rsidR="00590230" w:rsidRPr="009D6BF8" w:rsidRDefault="00590230" w:rsidP="00590230"/>
    <w:p w:rsidR="00AC514B" w:rsidRDefault="00AC514B" w:rsidP="00B85680">
      <w:pPr>
        <w:pStyle w:val="Heading3"/>
        <w:jc w:val="center"/>
        <w:rPr>
          <w:rFonts w:ascii="Tahoma" w:hAnsi="Tahoma" w:cs="Tahoma"/>
          <w:color w:val="008080"/>
          <w:sz w:val="28"/>
          <w:szCs w:val="28"/>
        </w:rPr>
      </w:pPr>
    </w:p>
    <w:p w:rsidR="00B85680" w:rsidRPr="009D6BF8" w:rsidRDefault="009D6BF8" w:rsidP="00B85680">
      <w:pPr>
        <w:pStyle w:val="Heading3"/>
        <w:jc w:val="center"/>
        <w:rPr>
          <w:rFonts w:ascii="Tahoma" w:hAnsi="Tahoma" w:cs="Tahoma"/>
          <w:color w:val="008080"/>
          <w:sz w:val="24"/>
        </w:rPr>
      </w:pPr>
      <w:r w:rsidRPr="009D6BF8">
        <w:rPr>
          <w:rFonts w:ascii="Tahoma" w:hAnsi="Tahoma" w:cs="Tahoma"/>
          <w:color w:val="008080"/>
          <w:sz w:val="24"/>
        </w:rPr>
        <w:t xml:space="preserve">ОПРЕДЕЛЕНИЕ ОБЪЕМА ТЕКСТА ДЛЯ ПОДСЧЕТА РАЗМЕРА </w:t>
      </w:r>
      <w:r w:rsidRPr="009D6BF8">
        <w:rPr>
          <w:rFonts w:ascii="Tahoma" w:hAnsi="Tahoma" w:cs="Tahoma"/>
          <w:color w:val="008080"/>
          <w:sz w:val="24"/>
        </w:rPr>
        <w:br/>
        <w:t>ВОЗНАГРАЖДЕНИЯ ПРИ ВЫПОЛНЕНИИ ПИСЬМЕННЫХ ПЕР</w:t>
      </w:r>
      <w:r w:rsidRPr="009D6BF8">
        <w:rPr>
          <w:rFonts w:ascii="Tahoma" w:hAnsi="Tahoma" w:cs="Tahoma"/>
          <w:color w:val="008080"/>
          <w:sz w:val="24"/>
        </w:rPr>
        <w:t>Е</w:t>
      </w:r>
      <w:r w:rsidRPr="009D6BF8">
        <w:rPr>
          <w:rFonts w:ascii="Tahoma" w:hAnsi="Tahoma" w:cs="Tahoma"/>
          <w:color w:val="008080"/>
          <w:sz w:val="24"/>
        </w:rPr>
        <w:t>ВОДОВ</w:t>
      </w:r>
    </w:p>
    <w:p w:rsidR="00B85680" w:rsidRDefault="00B85680" w:rsidP="00B85680">
      <w:pPr>
        <w:jc w:val="both"/>
      </w:pPr>
    </w:p>
    <w:p w:rsidR="00AC514B" w:rsidRDefault="00B85680" w:rsidP="00112684">
      <w:r>
        <w:t>Способ подсчета вознаграждения является существенным условием договора и опр</w:t>
      </w:r>
      <w:r>
        <w:t>е</w:t>
      </w:r>
      <w:r>
        <w:t>деляется сторонами в ходе переговоров, предшествующих заключению договора.</w:t>
      </w:r>
      <w:r w:rsidR="00AC514B" w:rsidRPr="00AC514B">
        <w:t xml:space="preserve"> </w:t>
      </w:r>
    </w:p>
    <w:p w:rsidR="00B85680" w:rsidRDefault="00B85680" w:rsidP="00112684"/>
    <w:p w:rsidR="00B85680" w:rsidRDefault="00B85680" w:rsidP="00112684">
      <w:r>
        <w:t>В основном тексте «Рекомендаций»</w:t>
      </w:r>
      <w:r w:rsidRPr="00B85680">
        <w:t xml:space="preserve"> </w:t>
      </w:r>
      <w:r>
        <w:t>указ</w:t>
      </w:r>
      <w:r w:rsidR="00C30967">
        <w:t>ано</w:t>
      </w:r>
      <w:r>
        <w:t>, что «</w:t>
      </w:r>
      <w:r w:rsidR="007474FA">
        <w:rPr>
          <w:kern w:val="20"/>
        </w:rPr>
        <w:t>ц</w:t>
      </w:r>
      <w:r w:rsidR="007474FA" w:rsidRPr="00FE131E">
        <w:rPr>
          <w:kern w:val="20"/>
        </w:rPr>
        <w:t xml:space="preserve">ена перевода устанавливается в договоре между заказчиком и переводчиком. </w:t>
      </w:r>
      <w:proofErr w:type="gramStart"/>
      <w:r w:rsidR="007474FA" w:rsidRPr="00FE131E">
        <w:rPr>
          <w:kern w:val="20"/>
        </w:rPr>
        <w:t>В качестве расчетной единицы используется ставка во</w:t>
      </w:r>
      <w:r w:rsidR="007474FA" w:rsidRPr="00FE131E">
        <w:rPr>
          <w:kern w:val="20"/>
        </w:rPr>
        <w:t>з</w:t>
      </w:r>
      <w:r w:rsidR="007474FA" w:rsidRPr="00FE131E">
        <w:rPr>
          <w:kern w:val="20"/>
        </w:rPr>
        <w:t>награждения за слово</w:t>
      </w:r>
      <w:r w:rsidR="0087273B">
        <w:rPr>
          <w:rStyle w:val="FootnoteReference"/>
          <w:kern w:val="20"/>
        </w:rPr>
        <w:footnoteReference w:id="1"/>
      </w:r>
      <w:r w:rsidR="007474FA" w:rsidRPr="00FE131E">
        <w:rPr>
          <w:kern w:val="20"/>
        </w:rPr>
        <w:t xml:space="preserve">, строку, условно-стандартную (учетную) страницу, содержащую </w:t>
      </w:r>
      <w:r w:rsidR="007474FA" w:rsidRPr="00FE131E">
        <w:rPr>
          <w:bCs/>
          <w:iCs/>
          <w:kern w:val="20"/>
        </w:rPr>
        <w:t>опр</w:t>
      </w:r>
      <w:r w:rsidR="007474FA" w:rsidRPr="00FE131E">
        <w:rPr>
          <w:bCs/>
          <w:iCs/>
          <w:kern w:val="20"/>
        </w:rPr>
        <w:t>е</w:t>
      </w:r>
      <w:r w:rsidR="007474FA" w:rsidRPr="00FE131E">
        <w:rPr>
          <w:bCs/>
          <w:iCs/>
          <w:kern w:val="20"/>
        </w:rPr>
        <w:t>деленное количество печатных знаков (символов</w:t>
      </w:r>
      <w:r w:rsidR="007474FA" w:rsidRPr="00FE131E">
        <w:rPr>
          <w:kern w:val="20"/>
        </w:rPr>
        <w:t>)</w:t>
      </w:r>
      <w:r w:rsidR="007474FA">
        <w:rPr>
          <w:kern w:val="20"/>
        </w:rPr>
        <w:t xml:space="preserve"> – с учетом или без учета пробелов, библи</w:t>
      </w:r>
      <w:r w:rsidR="007474FA">
        <w:rPr>
          <w:kern w:val="20"/>
        </w:rPr>
        <w:t>о</w:t>
      </w:r>
      <w:r w:rsidR="007474FA">
        <w:rPr>
          <w:kern w:val="20"/>
        </w:rPr>
        <w:t>графических сведений на иностранном языке и числовых таблиц</w:t>
      </w:r>
      <w:r w:rsidR="007474FA" w:rsidRPr="00FE131E">
        <w:rPr>
          <w:kern w:val="20"/>
        </w:rPr>
        <w:t xml:space="preserve">, авторский лист исходного либо переводного текста, </w:t>
      </w:r>
      <w:r w:rsidR="007474FA">
        <w:rPr>
          <w:kern w:val="20"/>
        </w:rPr>
        <w:t xml:space="preserve">или </w:t>
      </w:r>
      <w:r w:rsidR="007474FA" w:rsidRPr="00FE131E">
        <w:rPr>
          <w:kern w:val="20"/>
        </w:rPr>
        <w:t>почасов</w:t>
      </w:r>
      <w:r w:rsidR="007474FA">
        <w:rPr>
          <w:kern w:val="20"/>
        </w:rPr>
        <w:t>ая</w:t>
      </w:r>
      <w:r w:rsidR="007474FA" w:rsidRPr="00FE131E">
        <w:rPr>
          <w:kern w:val="20"/>
        </w:rPr>
        <w:t xml:space="preserve"> ставк</w:t>
      </w:r>
      <w:r w:rsidR="007474FA">
        <w:rPr>
          <w:kern w:val="20"/>
        </w:rPr>
        <w:t>а</w:t>
      </w:r>
      <w:r w:rsidR="007474FA" w:rsidRPr="00FE131E">
        <w:rPr>
          <w:kern w:val="20"/>
        </w:rPr>
        <w:t xml:space="preserve"> (например, при выполнении дополнительных видов р</w:t>
      </w:r>
      <w:r w:rsidR="007474FA" w:rsidRPr="00FE131E">
        <w:rPr>
          <w:kern w:val="20"/>
        </w:rPr>
        <w:t>а</w:t>
      </w:r>
      <w:r w:rsidR="007474FA" w:rsidRPr="00FE131E">
        <w:rPr>
          <w:kern w:val="20"/>
        </w:rPr>
        <w:t>бот</w:t>
      </w:r>
      <w:r w:rsidR="007474FA">
        <w:rPr>
          <w:kern w:val="20"/>
        </w:rPr>
        <w:t xml:space="preserve"> и работ особого вида, к которым можно отнести перевод презентаций в формате</w:t>
      </w:r>
      <w:proofErr w:type="gramEnd"/>
      <w:r w:rsidR="007474FA">
        <w:rPr>
          <w:kern w:val="20"/>
        </w:rPr>
        <w:t xml:space="preserve"> </w:t>
      </w:r>
      <w:proofErr w:type="gramStart"/>
      <w:r w:rsidR="007474FA">
        <w:rPr>
          <w:kern w:val="20"/>
          <w:lang w:val="en-US"/>
        </w:rPr>
        <w:t>Power</w:t>
      </w:r>
      <w:r w:rsidR="007474FA" w:rsidRPr="00251FA2">
        <w:rPr>
          <w:kern w:val="20"/>
        </w:rPr>
        <w:t xml:space="preserve"> </w:t>
      </w:r>
      <w:r w:rsidR="007474FA">
        <w:rPr>
          <w:kern w:val="20"/>
          <w:lang w:val="en-US"/>
        </w:rPr>
        <w:t>Point</w:t>
      </w:r>
      <w:r w:rsidR="007474FA" w:rsidRPr="00FE131E">
        <w:rPr>
          <w:kern w:val="20"/>
        </w:rPr>
        <w:t xml:space="preserve">) или </w:t>
      </w:r>
      <w:r w:rsidR="007474FA">
        <w:rPr>
          <w:kern w:val="20"/>
        </w:rPr>
        <w:t xml:space="preserve">любая </w:t>
      </w:r>
      <w:r w:rsidR="007474FA" w:rsidRPr="00FE131E">
        <w:rPr>
          <w:kern w:val="20"/>
        </w:rPr>
        <w:t>иная – по договоренности сторон</w:t>
      </w:r>
      <w:r>
        <w:t>»</w:t>
      </w:r>
      <w:r w:rsidR="00601BA4">
        <w:t>.</w:t>
      </w:r>
      <w:proofErr w:type="gramEnd"/>
    </w:p>
    <w:p w:rsidR="00B85680" w:rsidRDefault="00B85680" w:rsidP="00112684"/>
    <w:p w:rsidR="00B85680" w:rsidRDefault="00B85680" w:rsidP="00112684">
      <w:r>
        <w:t>В практике российского рынка преимущественно применяются 2 способа подсчета – за слово (1000 слов</w:t>
      </w:r>
      <w:r w:rsidR="00E07CA1">
        <w:t xml:space="preserve">, за страницу из </w:t>
      </w:r>
      <w:r w:rsidR="00E07CA1">
        <w:rPr>
          <w:lang w:val="en-US"/>
        </w:rPr>
        <w:t>N</w:t>
      </w:r>
      <w:r w:rsidR="00E07CA1">
        <w:t>-го количества слов</w:t>
      </w:r>
      <w:r>
        <w:t>) исходного текста или за усло</w:t>
      </w:r>
      <w:r>
        <w:t>в</w:t>
      </w:r>
      <w:r>
        <w:t>но-стандартную страницу переводного текста</w:t>
      </w:r>
      <w:r w:rsidR="002F5778">
        <w:t>, определенную на основании содержащихся в ней знаков</w:t>
      </w:r>
      <w:r>
        <w:t>.</w:t>
      </w:r>
      <w:r w:rsidR="002F5778">
        <w:t xml:space="preserve"> При определении объема </w:t>
      </w:r>
      <w:proofErr w:type="gramStart"/>
      <w:r w:rsidR="002F5778">
        <w:t>работы, выполненной с применением программ переводч</w:t>
      </w:r>
      <w:r w:rsidR="002F5778">
        <w:t>е</w:t>
      </w:r>
      <w:r w:rsidR="002F5778">
        <w:t>ской памяти стороны учитывают</w:t>
      </w:r>
      <w:proofErr w:type="gramEnd"/>
      <w:r w:rsidR="002F5778">
        <w:t xml:space="preserve"> также полные/неполные совпадения.</w:t>
      </w:r>
    </w:p>
    <w:p w:rsidR="00B85680" w:rsidRDefault="00B85680" w:rsidP="00112684"/>
    <w:p w:rsidR="00B85680" w:rsidRDefault="00B85680" w:rsidP="00112684">
      <w:r>
        <w:t xml:space="preserve">Как правило, в первом случае проблем не возникает, так как функция </w:t>
      </w:r>
      <w:r w:rsidR="00C30967">
        <w:t>«Статистика»</w:t>
      </w:r>
      <w:r>
        <w:t>, име</w:t>
      </w:r>
      <w:r>
        <w:t>ю</w:t>
      </w:r>
      <w:r>
        <w:t>щаяся в компьютерных программ</w:t>
      </w:r>
      <w:r w:rsidR="00AA10C8">
        <w:t>ах по обработке текстов, дает объективн</w:t>
      </w:r>
      <w:r w:rsidR="00C30967">
        <w:t>ые</w:t>
      </w:r>
      <w:r w:rsidR="00112684">
        <w:rPr>
          <w:rStyle w:val="FootnoteReference"/>
        </w:rPr>
        <w:footnoteReference w:id="2"/>
      </w:r>
      <w:r w:rsidR="00C30967">
        <w:t xml:space="preserve"> данные</w:t>
      </w:r>
      <w:r w:rsidR="00AA10C8">
        <w:t xml:space="preserve"> в о</w:t>
      </w:r>
      <w:r w:rsidR="00AA10C8">
        <w:t>т</w:t>
      </w:r>
      <w:r w:rsidR="00AA10C8">
        <w:t>ношении количества слов в исходном тексте, и оста</w:t>
      </w:r>
      <w:r w:rsidR="00C30967">
        <w:t>е</w:t>
      </w:r>
      <w:r w:rsidR="00AA10C8">
        <w:t>тся лишь произвести арифметическое действие умножения их количества на согласованную ставку. Естественно, что этот прием можно использовать и при определении размера вознаграждения по количеству слов пер</w:t>
      </w:r>
      <w:r w:rsidR="00AA10C8">
        <w:t>е</w:t>
      </w:r>
      <w:r w:rsidR="00AA10C8">
        <w:t>водного текста.</w:t>
      </w:r>
    </w:p>
    <w:p w:rsidR="00AA10C8" w:rsidRDefault="00AA10C8" w:rsidP="00112684"/>
    <w:p w:rsidR="00AA10C8" w:rsidRDefault="00AC514B" w:rsidP="00112684">
      <w:r>
        <w:t>Во втором случае существует возможность интерпретации того, что же является «</w:t>
      </w:r>
      <w:r w:rsidR="00112684" w:rsidRPr="00B5533B">
        <w:t>у</w:t>
      </w:r>
      <w:r w:rsidR="00112684" w:rsidRPr="00B5533B">
        <w:t>с</w:t>
      </w:r>
      <w:r w:rsidR="00112684" w:rsidRPr="00B5533B">
        <w:t>ловно-стандартн</w:t>
      </w:r>
      <w:r w:rsidR="00112684">
        <w:t>ой</w:t>
      </w:r>
      <w:r w:rsidR="00112684" w:rsidRPr="00B5533B">
        <w:t xml:space="preserve"> (учетн</w:t>
      </w:r>
      <w:r w:rsidR="00112684">
        <w:t>ой</w:t>
      </w:r>
      <w:r w:rsidR="00112684" w:rsidRPr="00B5533B">
        <w:t>)</w:t>
      </w:r>
      <w:r w:rsidR="00112684">
        <w:t xml:space="preserve"> </w:t>
      </w:r>
      <w:r>
        <w:t>страницей»</w:t>
      </w:r>
      <w:r w:rsidR="004A3F0B">
        <w:t>; это и есть</w:t>
      </w:r>
      <w:r>
        <w:t xml:space="preserve"> причин</w:t>
      </w:r>
      <w:r w:rsidR="004A3F0B">
        <w:t>а</w:t>
      </w:r>
      <w:r>
        <w:t xml:space="preserve"> существующей на рынке </w:t>
      </w:r>
      <w:r w:rsidR="00112684">
        <w:t xml:space="preserve">некоторой </w:t>
      </w:r>
      <w:r>
        <w:t xml:space="preserve">неопределенности. </w:t>
      </w:r>
    </w:p>
    <w:p w:rsidR="00B85680" w:rsidRDefault="00B85680" w:rsidP="00112684"/>
    <w:p w:rsidR="004A3F0B" w:rsidRDefault="00A57EB5" w:rsidP="00112684">
      <w:r>
        <w:t>Упомянутая н</w:t>
      </w:r>
      <w:r w:rsidR="00443CE5">
        <w:t xml:space="preserve">еопределенность преодолевается обращением к нормативным документам. </w:t>
      </w:r>
      <w:r w:rsidR="004A3F0B">
        <w:t>Возможн</w:t>
      </w:r>
      <w:r>
        <w:t>о</w:t>
      </w:r>
      <w:r w:rsidR="004A3F0B">
        <w:t xml:space="preserve"> </w:t>
      </w:r>
      <w:r w:rsidR="00601BA4">
        <w:t>применение</w:t>
      </w:r>
      <w:r w:rsidR="00D81C1A">
        <w:t xml:space="preserve"> </w:t>
      </w:r>
      <w:r w:rsidR="004A3F0B">
        <w:t>нормативны</w:t>
      </w:r>
      <w:r w:rsidR="00D81C1A">
        <w:t>х</w:t>
      </w:r>
      <w:r w:rsidR="004A3F0B">
        <w:t xml:space="preserve"> акт</w:t>
      </w:r>
      <w:r w:rsidR="00D81C1A">
        <w:t>ов</w:t>
      </w:r>
      <w:r w:rsidR="004A3F0B">
        <w:t xml:space="preserve">, </w:t>
      </w:r>
      <w:r w:rsidR="00C30967">
        <w:t xml:space="preserve">регламентирующих </w:t>
      </w:r>
      <w:r w:rsidR="004A3F0B">
        <w:t xml:space="preserve">учет труда </w:t>
      </w:r>
      <w:r>
        <w:t xml:space="preserve">а) </w:t>
      </w:r>
      <w:r w:rsidR="004A3F0B">
        <w:t>автора и пер</w:t>
      </w:r>
      <w:r w:rsidR="004A3F0B">
        <w:t>е</w:t>
      </w:r>
      <w:r w:rsidR="004A3F0B">
        <w:t xml:space="preserve">водчика или </w:t>
      </w:r>
      <w:r w:rsidR="00D8689B">
        <w:t xml:space="preserve">б) </w:t>
      </w:r>
      <w:r w:rsidR="004A3F0B">
        <w:t>труда машинистк</w:t>
      </w:r>
      <w:r w:rsidR="00601BA4">
        <w:t>и</w:t>
      </w:r>
      <w:r w:rsidR="004A3F0B">
        <w:t xml:space="preserve"> при выполнении машинописных работ. Второй подход имеет право на существование постольку, поскольку в </w:t>
      </w:r>
      <w:r>
        <w:t>соответству</w:t>
      </w:r>
      <w:r>
        <w:t>ю</w:t>
      </w:r>
      <w:r>
        <w:t>щих</w:t>
      </w:r>
      <w:r w:rsidR="004A3F0B">
        <w:t xml:space="preserve"> ГОСТах содержатся указания на размер стандартной страницы, применяемой для так</w:t>
      </w:r>
      <w:r w:rsidR="004A3F0B">
        <w:t>о</w:t>
      </w:r>
      <w:r w:rsidR="004A3F0B">
        <w:t>го учета.</w:t>
      </w:r>
    </w:p>
    <w:p w:rsidR="004A3F0B" w:rsidRDefault="004A3F0B" w:rsidP="00112684"/>
    <w:p w:rsidR="00DD50F0" w:rsidRDefault="004A3F0B" w:rsidP="00112684">
      <w:proofErr w:type="gramStart"/>
      <w:r>
        <w:t>В первом случае источник</w:t>
      </w:r>
      <w:r w:rsidR="00C30967">
        <w:t>ами</w:t>
      </w:r>
      <w:r>
        <w:t xml:space="preserve"> явля</w:t>
      </w:r>
      <w:r w:rsidR="00D8689B">
        <w:t>ю</w:t>
      </w:r>
      <w:r>
        <w:t xml:space="preserve">тся </w:t>
      </w:r>
      <w:r w:rsidR="00112684">
        <w:t>«</w:t>
      </w:r>
      <w:r>
        <w:t>Инструкция по исчислению объема литер</w:t>
      </w:r>
      <w:r>
        <w:t>а</w:t>
      </w:r>
      <w:r>
        <w:t>турного произведения в авторских листах</w:t>
      </w:r>
      <w:r w:rsidR="00112684">
        <w:t>»</w:t>
      </w:r>
      <w:r>
        <w:t>, введенная приказом ОГИЗа № 51 от 22 февраля 1940 г</w:t>
      </w:r>
      <w:r>
        <w:t>о</w:t>
      </w:r>
      <w:r>
        <w:t>да, действие которой было подтверждено письмом Министерства печати и телерадиокомм</w:t>
      </w:r>
      <w:r>
        <w:t>у</w:t>
      </w:r>
      <w:r>
        <w:t xml:space="preserve">никаций № 26.14-16090.26-10700 </w:t>
      </w:r>
      <w:r w:rsidR="00D8689B">
        <w:t xml:space="preserve">от 19 октября 2001 года, и ОСТ 29.130-97 «Количественные </w:t>
      </w:r>
      <w:r w:rsidR="00D8689B">
        <w:lastRenderedPageBreak/>
        <w:t>параметры издания» (п. 5.1)</w:t>
      </w:r>
      <w:r w:rsidR="00112684">
        <w:rPr>
          <w:rStyle w:val="FootnoteReference"/>
        </w:rPr>
        <w:footnoteReference w:id="3"/>
      </w:r>
      <w:r w:rsidR="00D8689B">
        <w:t>. В обоих нормативных документах содержится, в частности, указание на то, что</w:t>
      </w:r>
      <w:proofErr w:type="gramEnd"/>
      <w:r w:rsidR="00D8689B">
        <w:t xml:space="preserve"> авторский лист (во втором документе уточняется: «в РФ») равняется 40 тыс. печатных знаков, а ОСТ содержит прим</w:t>
      </w:r>
      <w:r w:rsidR="00D8689B">
        <w:t>е</w:t>
      </w:r>
      <w:r w:rsidR="00D8689B">
        <w:t xml:space="preserve">чание: «Авторский лист </w:t>
      </w:r>
      <w:r w:rsidR="00C30967">
        <w:t xml:space="preserve">равен </w:t>
      </w:r>
      <w:r w:rsidR="00D8689B">
        <w:t>примерно 22-23 страницам машинописного текста на русском языке, отпечатанным на листе формата А</w:t>
      </w:r>
      <w:proofErr w:type="gramStart"/>
      <w:r w:rsidR="00D8689B">
        <w:t>4</w:t>
      </w:r>
      <w:proofErr w:type="gramEnd"/>
      <w:r w:rsidR="00D8689B">
        <w:t xml:space="preserve"> со стандартными полями».</w:t>
      </w:r>
      <w:r w:rsidR="00C30967">
        <w:t xml:space="preserve"> </w:t>
      </w:r>
      <w:r w:rsidR="00D8689B">
        <w:t>Под одним печатным знаком (ударом) понимается воспроизведе</w:t>
      </w:r>
      <w:r w:rsidR="00D8689B">
        <w:t>н</w:t>
      </w:r>
      <w:r w:rsidR="00D8689B">
        <w:t xml:space="preserve">ный путем однократного нажатия клавиши знак (буква, цифра, знак препинания и пробел между словами). </w:t>
      </w:r>
    </w:p>
    <w:p w:rsidR="00DD50F0" w:rsidRDefault="00DD50F0" w:rsidP="00112684"/>
    <w:p w:rsidR="00DD50F0" w:rsidRDefault="00DD50F0" w:rsidP="00112684">
      <w:r>
        <w:t>Размер условно-стандартной (учетной) страницы в 1800 знаков с пробелами, часто встреч</w:t>
      </w:r>
      <w:r>
        <w:t>а</w:t>
      </w:r>
      <w:r>
        <w:t>ющийся в переводческой практике, не зафиксирован в нормативных документ</w:t>
      </w:r>
      <w:r w:rsidR="005A19E2">
        <w:t>ах</w:t>
      </w:r>
      <w:r>
        <w:t xml:space="preserve"> и </w:t>
      </w:r>
      <w:r w:rsidR="00C709DC">
        <w:t>является</w:t>
      </w:r>
      <w:r>
        <w:t xml:space="preserve"> производным от деления 40 000 печатных знаков на </w:t>
      </w:r>
      <w:r w:rsidRPr="00717DB3">
        <w:rPr>
          <w:u w:val="single"/>
        </w:rPr>
        <w:t>примерное</w:t>
      </w:r>
      <w:r>
        <w:t xml:space="preserve"> количество страниц в авто</w:t>
      </w:r>
      <w:r>
        <w:t>р</w:t>
      </w:r>
      <w:r>
        <w:t xml:space="preserve">ском листе. </w:t>
      </w:r>
      <w:r w:rsidR="00C30967">
        <w:t>Т</w:t>
      </w:r>
      <w:r>
        <w:t>акой размер страницы получа</w:t>
      </w:r>
      <w:r w:rsidR="00324CE9">
        <w:t>е</w:t>
      </w:r>
      <w:r>
        <w:t>тся при делении на 22,22. Иной размерность условно-стандартной страницы получается при делении ее на 24 – достаточно распростр</w:t>
      </w:r>
      <w:r>
        <w:t>а</w:t>
      </w:r>
      <w:r>
        <w:t>ненное в практике понимание размера авторского листа в машинописных страницах. В этом случае мы приходим к значению 1667</w:t>
      </w:r>
      <w:r w:rsidR="00C30967" w:rsidRPr="00C30967">
        <w:t xml:space="preserve"> </w:t>
      </w:r>
      <w:r w:rsidR="00C30967">
        <w:t>знаков</w:t>
      </w:r>
      <w:r>
        <w:t>, к котор</w:t>
      </w:r>
      <w:r w:rsidR="008053BB">
        <w:t>ому</w:t>
      </w:r>
      <w:r>
        <w:t xml:space="preserve"> близко стоят </w:t>
      </w:r>
      <w:r w:rsidR="00C30967">
        <w:t xml:space="preserve">также </w:t>
      </w:r>
      <w:r>
        <w:t>имеющие хо</w:t>
      </w:r>
      <w:r>
        <w:t>ж</w:t>
      </w:r>
      <w:r>
        <w:t>дение на рынке размеры</w:t>
      </w:r>
      <w:r w:rsidR="00C30967" w:rsidRPr="00C30967">
        <w:t xml:space="preserve"> </w:t>
      </w:r>
      <w:r w:rsidR="00C30967">
        <w:t>условно-стандартной (учетной) страницы в</w:t>
      </w:r>
      <w:r>
        <w:t xml:space="preserve"> 1668</w:t>
      </w:r>
      <w:r w:rsidR="00601BA4">
        <w:t>,</w:t>
      </w:r>
      <w:r>
        <w:t xml:space="preserve"> 1670 </w:t>
      </w:r>
      <w:r w:rsidR="00601BA4">
        <w:t xml:space="preserve">и 1700 </w:t>
      </w:r>
      <w:r>
        <w:t>зн</w:t>
      </w:r>
      <w:r>
        <w:t>а</w:t>
      </w:r>
      <w:r>
        <w:t>ков.</w:t>
      </w:r>
    </w:p>
    <w:p w:rsidR="00DD50F0" w:rsidRDefault="00DD50F0" w:rsidP="00112684"/>
    <w:p w:rsidR="00DD50F0" w:rsidRDefault="00C30967" w:rsidP="00112684">
      <w:r>
        <w:t>Ниже в</w:t>
      </w:r>
      <w:r w:rsidR="008053BB">
        <w:t xml:space="preserve"> таблице для удобства подсчетов привод</w:t>
      </w:r>
      <w:r>
        <w:t>и</w:t>
      </w:r>
      <w:r w:rsidR="008053BB">
        <w:t xml:space="preserve">тся соотношение между </w:t>
      </w:r>
      <w:r w:rsidR="00C709DC">
        <w:t>условно-стандартной</w:t>
      </w:r>
      <w:r w:rsidR="008053BB">
        <w:t xml:space="preserve"> страницей и авторским листом при печати с различным</w:t>
      </w:r>
      <w:r w:rsidR="00717DB3">
        <w:t>и</w:t>
      </w:r>
      <w:r w:rsidR="008053BB">
        <w:t xml:space="preserve"> интервал</w:t>
      </w:r>
      <w:r w:rsidR="00717DB3">
        <w:t>а</w:t>
      </w:r>
      <w:r w:rsidR="008053BB">
        <w:t>м</w:t>
      </w:r>
      <w:r w:rsidR="00717DB3">
        <w:t>и</w:t>
      </w:r>
      <w:r w:rsidR="008053BB">
        <w:t>.</w:t>
      </w:r>
    </w:p>
    <w:p w:rsidR="008053BB" w:rsidRDefault="008053BB" w:rsidP="00112684"/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1911"/>
        <w:gridCol w:w="1912"/>
        <w:gridCol w:w="2297"/>
      </w:tblGrid>
      <w:tr w:rsidR="008053BB" w:rsidTr="008B3F36">
        <w:tc>
          <w:tcPr>
            <w:tcW w:w="3000" w:type="dxa"/>
            <w:vMerge w:val="restart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Интервал между стр</w:t>
            </w:r>
            <w:r w:rsidRPr="008B3F36">
              <w:rPr>
                <w:sz w:val="22"/>
                <w:szCs w:val="22"/>
              </w:rPr>
              <w:t>о</w:t>
            </w:r>
            <w:r w:rsidRPr="008B3F36">
              <w:rPr>
                <w:sz w:val="22"/>
                <w:szCs w:val="22"/>
              </w:rPr>
              <w:t>ками</w:t>
            </w:r>
          </w:p>
        </w:tc>
        <w:tc>
          <w:tcPr>
            <w:tcW w:w="3823" w:type="dxa"/>
            <w:gridSpan w:val="2"/>
            <w:shd w:val="clear" w:color="auto" w:fill="auto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Объем одной страницы</w:t>
            </w:r>
          </w:p>
        </w:tc>
        <w:tc>
          <w:tcPr>
            <w:tcW w:w="2297" w:type="dxa"/>
            <w:vMerge w:val="restart"/>
            <w:shd w:val="clear" w:color="auto" w:fill="auto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 xml:space="preserve">Количество страниц </w:t>
            </w:r>
            <w:r w:rsidR="00A0463F" w:rsidRPr="008B3F36">
              <w:rPr>
                <w:sz w:val="22"/>
                <w:szCs w:val="22"/>
              </w:rPr>
              <w:br/>
            </w:r>
            <w:r w:rsidRPr="008B3F36">
              <w:rPr>
                <w:sz w:val="22"/>
                <w:szCs w:val="22"/>
              </w:rPr>
              <w:t xml:space="preserve">в одном авторском </w:t>
            </w:r>
            <w:r w:rsidR="00A0463F" w:rsidRPr="008B3F36">
              <w:rPr>
                <w:sz w:val="22"/>
                <w:szCs w:val="22"/>
              </w:rPr>
              <w:br/>
            </w:r>
            <w:r w:rsidRPr="008B3F36">
              <w:rPr>
                <w:sz w:val="22"/>
                <w:szCs w:val="22"/>
              </w:rPr>
              <w:t>ли</w:t>
            </w:r>
            <w:r w:rsidRPr="008B3F36">
              <w:rPr>
                <w:sz w:val="22"/>
                <w:szCs w:val="22"/>
              </w:rPr>
              <w:t>с</w:t>
            </w:r>
            <w:r w:rsidRPr="008B3F36">
              <w:rPr>
                <w:sz w:val="22"/>
                <w:szCs w:val="22"/>
              </w:rPr>
              <w:t>те</w:t>
            </w:r>
          </w:p>
        </w:tc>
      </w:tr>
      <w:tr w:rsidR="008053BB" w:rsidTr="008B3F36">
        <w:tc>
          <w:tcPr>
            <w:tcW w:w="3000" w:type="dxa"/>
            <w:vMerge/>
            <w:shd w:val="clear" w:color="auto" w:fill="auto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</w:p>
        </w:tc>
        <w:tc>
          <w:tcPr>
            <w:tcW w:w="1911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Печатных знаков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Авторский лист</w:t>
            </w:r>
          </w:p>
        </w:tc>
        <w:tc>
          <w:tcPr>
            <w:tcW w:w="2297" w:type="dxa"/>
            <w:vMerge/>
            <w:shd w:val="clear" w:color="auto" w:fill="auto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</w:p>
        </w:tc>
      </w:tr>
      <w:tr w:rsidR="008053BB" w:rsidTr="008B3F36">
        <w:tc>
          <w:tcPr>
            <w:tcW w:w="3000" w:type="dxa"/>
            <w:shd w:val="clear" w:color="auto" w:fill="auto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Два интервала (30 строк по 60 ударов)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1800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0,045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22,2</w:t>
            </w:r>
          </w:p>
        </w:tc>
      </w:tr>
      <w:tr w:rsidR="008053BB" w:rsidTr="008B3F36">
        <w:tc>
          <w:tcPr>
            <w:tcW w:w="3000" w:type="dxa"/>
            <w:shd w:val="clear" w:color="auto" w:fill="auto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Полтора интервала (39 строк по 60 ударов)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2340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0,057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17,1</w:t>
            </w:r>
          </w:p>
        </w:tc>
      </w:tr>
      <w:tr w:rsidR="008053BB" w:rsidTr="008B3F36">
        <w:tc>
          <w:tcPr>
            <w:tcW w:w="3000" w:type="dxa"/>
            <w:shd w:val="clear" w:color="auto" w:fill="auto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Один интервал (58 строк по 60 ударов)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3420</w:t>
            </w:r>
          </w:p>
        </w:tc>
        <w:tc>
          <w:tcPr>
            <w:tcW w:w="1912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0,087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8053BB" w:rsidRPr="008B3F36" w:rsidRDefault="008053BB" w:rsidP="00112684">
            <w:pPr>
              <w:rPr>
                <w:sz w:val="22"/>
                <w:szCs w:val="22"/>
              </w:rPr>
            </w:pPr>
            <w:r w:rsidRPr="008B3F36">
              <w:rPr>
                <w:sz w:val="22"/>
                <w:szCs w:val="22"/>
              </w:rPr>
              <w:t>11,5</w:t>
            </w:r>
          </w:p>
        </w:tc>
      </w:tr>
    </w:tbl>
    <w:p w:rsidR="008053BB" w:rsidRDefault="008053BB" w:rsidP="00112684"/>
    <w:p w:rsidR="00DD50F0" w:rsidRDefault="008053BB" w:rsidP="00112684">
      <w:r>
        <w:t>Как упоминалось выше, существуют ГОСТы для учета труда машинисток. Это – ГОСТ 6.38-72, устанавливающий, в частности, стандартные размеры полей, и ГОСТ 6.39-72, который предписывает использовать в качестве единицы измерения машинописных работ</w:t>
      </w:r>
      <w:r w:rsidR="00552644">
        <w:t xml:space="preserve"> одну </w:t>
      </w:r>
      <w:r w:rsidR="00552644" w:rsidRPr="00717DB3">
        <w:rPr>
          <w:u w:val="single"/>
        </w:rPr>
        <w:t>но</w:t>
      </w:r>
      <w:r w:rsidR="00552644" w:rsidRPr="00717DB3">
        <w:rPr>
          <w:u w:val="single"/>
        </w:rPr>
        <w:t>р</w:t>
      </w:r>
      <w:r w:rsidR="00552644" w:rsidRPr="00717DB3">
        <w:rPr>
          <w:u w:val="single"/>
        </w:rPr>
        <w:t>мально</w:t>
      </w:r>
      <w:r w:rsidR="00552644">
        <w:t xml:space="preserve"> заполненную страницу – лист бумаги размером 297×210 мм (формат А</w:t>
      </w:r>
      <w:proofErr w:type="gramStart"/>
      <w:r w:rsidR="00552644">
        <w:t>4</w:t>
      </w:r>
      <w:proofErr w:type="gramEnd"/>
      <w:r w:rsidR="00552644">
        <w:t>), напечата</w:t>
      </w:r>
      <w:r w:rsidR="00552644">
        <w:t>н</w:t>
      </w:r>
      <w:r w:rsidR="00552644">
        <w:t>ный с одной стороны.</w:t>
      </w:r>
    </w:p>
    <w:p w:rsidR="00552644" w:rsidRDefault="00552644" w:rsidP="00112684"/>
    <w:p w:rsidR="008013F1" w:rsidRPr="008013F1" w:rsidRDefault="008013F1" w:rsidP="008013F1">
      <w:pPr>
        <w:pStyle w:val="HTMLPreformatted"/>
        <w:rPr>
          <w:rFonts w:ascii="Times New Roman" w:hAnsi="Times New Roman" w:cs="Times New Roman"/>
          <w:sz w:val="24"/>
          <w:szCs w:val="24"/>
        </w:rPr>
      </w:pPr>
      <w:proofErr w:type="gramStart"/>
      <w:r w:rsidRPr="008013F1">
        <w:rPr>
          <w:rFonts w:ascii="Times New Roman" w:hAnsi="Times New Roman" w:cs="Times New Roman"/>
          <w:sz w:val="24"/>
          <w:szCs w:val="24"/>
          <w:u w:val="single"/>
        </w:rPr>
        <w:t>Нормально заполненной</w:t>
      </w:r>
      <w:r w:rsidRPr="008013F1">
        <w:rPr>
          <w:rFonts w:ascii="Times New Roman" w:hAnsi="Times New Roman" w:cs="Times New Roman"/>
          <w:sz w:val="24"/>
          <w:szCs w:val="24"/>
        </w:rPr>
        <w:t xml:space="preserve"> считается страница, на которой размещается 29</w:t>
      </w:r>
      <w:r w:rsidR="006341A3">
        <w:rPr>
          <w:rFonts w:ascii="Times New Roman" w:hAnsi="Times New Roman" w:cs="Times New Roman"/>
          <w:sz w:val="24"/>
          <w:szCs w:val="24"/>
        </w:rPr>
        <w:t>–</w:t>
      </w:r>
      <w:r w:rsidRPr="008013F1">
        <w:rPr>
          <w:rFonts w:ascii="Times New Roman" w:hAnsi="Times New Roman" w:cs="Times New Roman"/>
          <w:sz w:val="24"/>
          <w:szCs w:val="24"/>
        </w:rPr>
        <w:t>31 строка (1860 знаков) при печатании через 2 интервала, 38</w:t>
      </w:r>
      <w:r w:rsidR="006341A3">
        <w:rPr>
          <w:rFonts w:ascii="Times New Roman" w:hAnsi="Times New Roman" w:cs="Times New Roman"/>
          <w:sz w:val="24"/>
          <w:szCs w:val="24"/>
        </w:rPr>
        <w:t>–</w:t>
      </w:r>
      <w:r w:rsidRPr="008013F1">
        <w:rPr>
          <w:rFonts w:ascii="Times New Roman" w:hAnsi="Times New Roman" w:cs="Times New Roman"/>
          <w:sz w:val="24"/>
          <w:szCs w:val="24"/>
        </w:rPr>
        <w:t xml:space="preserve">41 строка (2450 знаков) </w:t>
      </w:r>
      <w:r w:rsidR="006341A3">
        <w:rPr>
          <w:rFonts w:ascii="Times New Roman" w:hAnsi="Times New Roman" w:cs="Times New Roman"/>
          <w:sz w:val="24"/>
          <w:szCs w:val="24"/>
        </w:rPr>
        <w:t>–</w:t>
      </w:r>
      <w:r w:rsidRPr="008013F1">
        <w:rPr>
          <w:rFonts w:ascii="Times New Roman" w:hAnsi="Times New Roman" w:cs="Times New Roman"/>
          <w:sz w:val="24"/>
          <w:szCs w:val="24"/>
        </w:rPr>
        <w:t xml:space="preserve"> каждая строка вкл</w:t>
      </w:r>
      <w:r w:rsidRPr="008013F1">
        <w:rPr>
          <w:rFonts w:ascii="Times New Roman" w:hAnsi="Times New Roman" w:cs="Times New Roman"/>
          <w:sz w:val="24"/>
          <w:szCs w:val="24"/>
        </w:rPr>
        <w:t>ю</w:t>
      </w:r>
      <w:r w:rsidRPr="008013F1">
        <w:rPr>
          <w:rFonts w:ascii="Times New Roman" w:hAnsi="Times New Roman" w:cs="Times New Roman"/>
          <w:sz w:val="24"/>
          <w:szCs w:val="24"/>
        </w:rPr>
        <w:t>чает 60</w:t>
      </w:r>
      <w:r w:rsidR="006341A3">
        <w:rPr>
          <w:rFonts w:ascii="Times New Roman" w:hAnsi="Times New Roman" w:cs="Times New Roman"/>
          <w:sz w:val="24"/>
          <w:szCs w:val="24"/>
        </w:rPr>
        <w:t>–</w:t>
      </w:r>
      <w:r w:rsidRPr="008013F1">
        <w:rPr>
          <w:rFonts w:ascii="Times New Roman" w:hAnsi="Times New Roman" w:cs="Times New Roman"/>
          <w:sz w:val="24"/>
          <w:szCs w:val="24"/>
        </w:rPr>
        <w:t>64 печатных знака (удара) при наличии полей с левой стороны размером 35 мм, с правой стороны не менее 8 мм; сверху 20 мм и снизу не менее 19 мм (ГОСТ 6.39-72.</w:t>
      </w:r>
      <w:proofErr w:type="gramEnd"/>
      <w:r w:rsidRPr="008013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13F1">
        <w:rPr>
          <w:rFonts w:ascii="Times New Roman" w:hAnsi="Times New Roman" w:cs="Times New Roman"/>
          <w:sz w:val="24"/>
          <w:szCs w:val="24"/>
        </w:rPr>
        <w:t>Система организационно-распорядительной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00DE6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Госкомтруда СССР и ВЦСПС </w:t>
      </w:r>
      <w:r w:rsidRPr="00A00DE6">
        <w:rPr>
          <w:rFonts w:ascii="Times New Roman" w:hAnsi="Times New Roman" w:cs="Times New Roman"/>
          <w:sz w:val="24"/>
          <w:szCs w:val="24"/>
        </w:rPr>
        <w:t>от 19 июня 1984 г. N 189/11-64 «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00DE6">
        <w:rPr>
          <w:rFonts w:ascii="Times New Roman" w:hAnsi="Times New Roman" w:cs="Times New Roman"/>
          <w:sz w:val="24"/>
          <w:szCs w:val="24"/>
        </w:rPr>
        <w:t>б утверждении единых норм времени (выработки) на м</w:t>
      </w:r>
      <w:r w:rsidRPr="00A00DE6">
        <w:rPr>
          <w:rFonts w:ascii="Times New Roman" w:hAnsi="Times New Roman" w:cs="Times New Roman"/>
          <w:sz w:val="24"/>
          <w:szCs w:val="24"/>
        </w:rPr>
        <w:t>а</w:t>
      </w:r>
      <w:r w:rsidRPr="00A00DE6">
        <w:rPr>
          <w:rFonts w:ascii="Times New Roman" w:hAnsi="Times New Roman" w:cs="Times New Roman"/>
          <w:sz w:val="24"/>
          <w:szCs w:val="24"/>
        </w:rPr>
        <w:t>шинописные работы»</w:t>
      </w:r>
      <w:r w:rsidRPr="008013F1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2D592B" w:rsidRDefault="002D592B" w:rsidP="00112684"/>
    <w:p w:rsidR="002D592B" w:rsidRDefault="002D592B" w:rsidP="00112684">
      <w:r>
        <w:t>В советское «машинописное» время была и более определенная комбинация количества строк и ударов на страницу при указанных выше стандартных полях – 28 строк по 60 ударов через 2 интервала, что дает учетную страницу размером в 1680 знаков.</w:t>
      </w:r>
    </w:p>
    <w:p w:rsidR="008053BB" w:rsidRDefault="008053BB" w:rsidP="00112684"/>
    <w:p w:rsidR="00552644" w:rsidRDefault="002D592B" w:rsidP="00112684">
      <w:r>
        <w:lastRenderedPageBreak/>
        <w:t>У</w:t>
      </w:r>
      <w:r w:rsidR="00552644">
        <w:t xml:space="preserve">четная страница, являющаяся единицей подсчета объема текста в текстовом редакторе </w:t>
      </w:r>
      <w:r w:rsidR="00556F86">
        <w:rPr>
          <w:lang w:val="en-US"/>
        </w:rPr>
        <w:t>MS</w:t>
      </w:r>
      <w:r w:rsidR="00552644" w:rsidRPr="00552644">
        <w:t xml:space="preserve"> </w:t>
      </w:r>
      <w:r w:rsidR="00552644">
        <w:rPr>
          <w:lang w:val="en-US"/>
        </w:rPr>
        <w:t>Word</w:t>
      </w:r>
      <w:r w:rsidR="00552644">
        <w:t>, не соответс</w:t>
      </w:r>
      <w:r w:rsidR="00BD7A73">
        <w:t>т</w:t>
      </w:r>
      <w:r w:rsidR="00552644">
        <w:t>вует ни одному базирующемуся на российских (советских) норм</w:t>
      </w:r>
      <w:r w:rsidR="00552644">
        <w:t>а</w:t>
      </w:r>
      <w:r w:rsidR="00552644">
        <w:t>тивных документах размеру</w:t>
      </w:r>
      <w:r w:rsidR="00481F17">
        <w:t xml:space="preserve"> и более того, </w:t>
      </w:r>
      <w:r w:rsidR="00E86B12">
        <w:t xml:space="preserve">является переменной величиной, так как </w:t>
      </w:r>
      <w:r w:rsidR="00481F17">
        <w:t>состоит из мен</w:t>
      </w:r>
      <w:r w:rsidR="00481F17">
        <w:t>я</w:t>
      </w:r>
      <w:r w:rsidR="00481F17">
        <w:t>ющегося количества п</w:t>
      </w:r>
      <w:r w:rsidR="00481F17">
        <w:t>е</w:t>
      </w:r>
      <w:r w:rsidR="00481F17">
        <w:t>чатных знаков в зависимости от кегля.</w:t>
      </w:r>
      <w:r w:rsidR="00552644">
        <w:t xml:space="preserve"> </w:t>
      </w:r>
      <w:r w:rsidR="00E86B12" w:rsidRPr="00717DB3">
        <w:rPr>
          <w:b/>
        </w:rPr>
        <w:t xml:space="preserve">На этом основании </w:t>
      </w:r>
      <w:r w:rsidR="00481F17" w:rsidRPr="00717DB3">
        <w:rPr>
          <w:b/>
        </w:rPr>
        <w:t>ее нельзя</w:t>
      </w:r>
      <w:r w:rsidR="00552644" w:rsidRPr="00717DB3">
        <w:rPr>
          <w:b/>
        </w:rPr>
        <w:t xml:space="preserve"> применять в качестве расчетной единицы</w:t>
      </w:r>
      <w:r w:rsidR="00BD7A73" w:rsidRPr="00717DB3">
        <w:rPr>
          <w:b/>
        </w:rPr>
        <w:t xml:space="preserve"> в перев</w:t>
      </w:r>
      <w:r w:rsidR="00BD7A73" w:rsidRPr="00717DB3">
        <w:rPr>
          <w:b/>
        </w:rPr>
        <w:t>о</w:t>
      </w:r>
      <w:r w:rsidR="00BD7A73" w:rsidRPr="00717DB3">
        <w:rPr>
          <w:b/>
        </w:rPr>
        <w:t>дческой практике</w:t>
      </w:r>
      <w:r w:rsidR="00552644" w:rsidRPr="00717DB3">
        <w:rPr>
          <w:b/>
        </w:rPr>
        <w:t>.</w:t>
      </w:r>
      <w:r w:rsidR="00481F17">
        <w:t xml:space="preserve"> </w:t>
      </w:r>
    </w:p>
    <w:p w:rsidR="00601BA4" w:rsidRDefault="00601BA4" w:rsidP="00112684"/>
    <w:p w:rsidR="00601BA4" w:rsidRDefault="00601BA4" w:rsidP="00112684">
      <w:r>
        <w:t>Достижение ясной и недвусмысленной договоренности о количестве знаков, образующих учетную страницу, является обязательным условием принятия переводчиком заказа на пис</w:t>
      </w:r>
      <w:r>
        <w:t>ь</w:t>
      </w:r>
      <w:r>
        <w:t>менный перевод. Заказчик и переводчик могут по взаимной договоренности определить л</w:t>
      </w:r>
      <w:r>
        <w:t>ю</w:t>
      </w:r>
      <w:r>
        <w:t>бой размер условно-стандартной страницы, установив удовлетворя</w:t>
      </w:r>
      <w:r>
        <w:t>ю</w:t>
      </w:r>
      <w:r>
        <w:t xml:space="preserve">щую обе стороны ставку вознаграждения, </w:t>
      </w:r>
      <w:r w:rsidRPr="00A57EB5">
        <w:t xml:space="preserve">необходимо </w:t>
      </w:r>
      <w:r>
        <w:t xml:space="preserve">лишь </w:t>
      </w:r>
      <w:r w:rsidRPr="00A57EB5">
        <w:t xml:space="preserve">использовать одинаково понимаемые </w:t>
      </w:r>
      <w:r>
        <w:t>з</w:t>
      </w:r>
      <w:r w:rsidRPr="00A57EB5">
        <w:t xml:space="preserve">аказчиком и </w:t>
      </w:r>
      <w:r>
        <w:t>и</w:t>
      </w:r>
      <w:r w:rsidRPr="00A57EB5">
        <w:t>с</w:t>
      </w:r>
      <w:r w:rsidRPr="00A57EB5">
        <w:t>полнителем величины</w:t>
      </w:r>
      <w:r>
        <w:t>.</w:t>
      </w:r>
    </w:p>
    <w:p w:rsidR="005A19E2" w:rsidRDefault="005A19E2" w:rsidP="00112684"/>
    <w:p w:rsidR="005A19E2" w:rsidRDefault="005A19E2" w:rsidP="00112684">
      <w:r w:rsidRPr="002D592B">
        <w:t>Размер</w:t>
      </w:r>
      <w:r w:rsidR="002D592B">
        <w:t>ы</w:t>
      </w:r>
      <w:r w:rsidRPr="002D592B">
        <w:t xml:space="preserve"> условно-стандартной (учетной) страницы в </w:t>
      </w:r>
      <w:r w:rsidR="002D592B">
        <w:t xml:space="preserve">1680 и </w:t>
      </w:r>
      <w:r w:rsidRPr="002D592B">
        <w:t>1800 печатных знаков (с проб</w:t>
      </w:r>
      <w:r w:rsidRPr="002D592B">
        <w:t>е</w:t>
      </w:r>
      <w:r w:rsidRPr="002D592B">
        <w:t xml:space="preserve">лами) </w:t>
      </w:r>
      <w:r w:rsidR="00A0463F" w:rsidRPr="002D592B">
        <w:t>статистически представля</w:t>
      </w:r>
      <w:r w:rsidR="002D592B">
        <w:t>ю</w:t>
      </w:r>
      <w:r w:rsidR="00A0463F" w:rsidRPr="002D592B">
        <w:t>тся</w:t>
      </w:r>
      <w:r w:rsidRPr="002D592B">
        <w:t xml:space="preserve"> наиболее распространенным</w:t>
      </w:r>
      <w:r w:rsidR="00A0463F" w:rsidRPr="002D592B">
        <w:t xml:space="preserve"> на рынке п</w:t>
      </w:r>
      <w:r w:rsidR="00A0463F" w:rsidRPr="002D592B">
        <w:t>е</w:t>
      </w:r>
      <w:r w:rsidR="00A0463F" w:rsidRPr="002D592B">
        <w:t>реводов в РФ</w:t>
      </w:r>
      <w:r w:rsidRPr="002D592B">
        <w:t>.</w:t>
      </w:r>
      <w:r>
        <w:t xml:space="preserve"> </w:t>
      </w:r>
    </w:p>
    <w:p w:rsidR="005A19E2" w:rsidRDefault="005A19E2" w:rsidP="00112684"/>
    <w:p w:rsidR="00601BA4" w:rsidRDefault="00601BA4" w:rsidP="00112684">
      <w:pPr>
        <w:rPr>
          <w:sz w:val="20"/>
          <w:szCs w:val="20"/>
        </w:rPr>
      </w:pPr>
      <w:r>
        <w:rPr>
          <w:bCs/>
        </w:rPr>
        <w:t>О</w:t>
      </w:r>
      <w:r w:rsidRPr="00AE28BA">
        <w:rPr>
          <w:bCs/>
        </w:rPr>
        <w:t>тсутствие соглашения сторон в письменной форме о порядке и способе подсчета возн</w:t>
      </w:r>
      <w:r w:rsidRPr="00AE28BA">
        <w:rPr>
          <w:bCs/>
        </w:rPr>
        <w:t>а</w:t>
      </w:r>
      <w:r w:rsidRPr="00AE28BA">
        <w:rPr>
          <w:bCs/>
        </w:rPr>
        <w:t>граждения переводчику может привести к спорам и судебным разбирательствам. При этом следует иметь в виду, что тогда возможно применение п.</w:t>
      </w:r>
      <w:r>
        <w:rPr>
          <w:bCs/>
        </w:rPr>
        <w:t xml:space="preserve"> </w:t>
      </w:r>
      <w:r w:rsidRPr="00AE28BA">
        <w:rPr>
          <w:bCs/>
        </w:rPr>
        <w:t>4 ст. 421 ГК РФ «Свобода догов</w:t>
      </w:r>
      <w:r w:rsidRPr="00AE28BA">
        <w:rPr>
          <w:bCs/>
        </w:rPr>
        <w:t>о</w:t>
      </w:r>
      <w:r w:rsidRPr="00AE28BA">
        <w:rPr>
          <w:bCs/>
        </w:rPr>
        <w:t>ра», согласно которому в случае отсутствия соглашения стороны об</w:t>
      </w:r>
      <w:r w:rsidRPr="00AE28BA">
        <w:rPr>
          <w:bCs/>
        </w:rPr>
        <w:t>я</w:t>
      </w:r>
      <w:r w:rsidRPr="00AE28BA">
        <w:rPr>
          <w:bCs/>
        </w:rPr>
        <w:t>заны руководствоваться диспозитивными нормами, в частности вышеуказанной действующей отраслевой «Инстру</w:t>
      </w:r>
      <w:r w:rsidRPr="00AE28BA">
        <w:rPr>
          <w:bCs/>
        </w:rPr>
        <w:t>к</w:t>
      </w:r>
      <w:r w:rsidRPr="00AE28BA">
        <w:rPr>
          <w:bCs/>
        </w:rPr>
        <w:t>цией».</w:t>
      </w:r>
    </w:p>
    <w:p w:rsidR="008053BB" w:rsidRDefault="008053BB" w:rsidP="00112684"/>
    <w:p w:rsidR="00BD7A73" w:rsidRDefault="00BD7A73" w:rsidP="00112684">
      <w:r>
        <w:t>Хотя результат труда переводчика может, по сути дела, быть измерен лишь по завершении работы, то есть по переведенному тексту, для заказчика часто желательно и необходимо з</w:t>
      </w:r>
      <w:r>
        <w:t>а</w:t>
      </w:r>
      <w:r>
        <w:t>ранее представлять себе</w:t>
      </w:r>
      <w:r w:rsidR="00917EDB">
        <w:t xml:space="preserve"> </w:t>
      </w:r>
      <w:r w:rsidR="00E86B12">
        <w:t>ее стоимость</w:t>
      </w:r>
      <w:r w:rsidR="00917EDB">
        <w:t>. Для определения предварительного объема перевода на русский язык в условно-стандартных страницах по иностранному оригиналу можно пр</w:t>
      </w:r>
      <w:r w:rsidR="00917EDB">
        <w:t>и</w:t>
      </w:r>
      <w:r w:rsidR="00917EDB">
        <w:t>менять следующие установленные эмпирическим путем пер</w:t>
      </w:r>
      <w:r w:rsidR="00917EDB">
        <w:t>е</w:t>
      </w:r>
      <w:r w:rsidR="00917EDB">
        <w:t>счетные коэффициенты:</w:t>
      </w:r>
    </w:p>
    <w:p w:rsidR="00917EDB" w:rsidRDefault="00917EDB" w:rsidP="00112684"/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1080"/>
        <w:gridCol w:w="3720"/>
        <w:gridCol w:w="960"/>
      </w:tblGrid>
      <w:tr w:rsidR="00917EDB" w:rsidTr="008B3F36">
        <w:tc>
          <w:tcPr>
            <w:tcW w:w="3240" w:type="dxa"/>
            <w:shd w:val="clear" w:color="auto" w:fill="auto"/>
          </w:tcPr>
          <w:p w:rsidR="00917EDB" w:rsidRDefault="00917EDB" w:rsidP="00112684">
            <w:r>
              <w:t>Английский</w:t>
            </w:r>
          </w:p>
        </w:tc>
        <w:tc>
          <w:tcPr>
            <w:tcW w:w="1080" w:type="dxa"/>
            <w:shd w:val="clear" w:color="auto" w:fill="auto"/>
          </w:tcPr>
          <w:p w:rsidR="00917EDB" w:rsidRDefault="00917EDB" w:rsidP="00112684">
            <w:r>
              <w:t>1,20</w:t>
            </w:r>
          </w:p>
        </w:tc>
        <w:tc>
          <w:tcPr>
            <w:tcW w:w="3720" w:type="dxa"/>
            <w:shd w:val="clear" w:color="auto" w:fill="auto"/>
          </w:tcPr>
          <w:p w:rsidR="00917EDB" w:rsidRDefault="00917EDB" w:rsidP="00112684">
            <w:r>
              <w:t>Норвежский</w:t>
            </w:r>
          </w:p>
        </w:tc>
        <w:tc>
          <w:tcPr>
            <w:tcW w:w="960" w:type="dxa"/>
            <w:shd w:val="clear" w:color="auto" w:fill="auto"/>
          </w:tcPr>
          <w:p w:rsidR="00917EDB" w:rsidRDefault="00917EDB" w:rsidP="00112684">
            <w:r>
              <w:t>1,30</w:t>
            </w:r>
          </w:p>
        </w:tc>
      </w:tr>
      <w:tr w:rsidR="00917EDB" w:rsidTr="008B3F36">
        <w:tc>
          <w:tcPr>
            <w:tcW w:w="3240" w:type="dxa"/>
            <w:shd w:val="clear" w:color="auto" w:fill="auto"/>
          </w:tcPr>
          <w:p w:rsidR="00917EDB" w:rsidRDefault="00917EDB" w:rsidP="00112684">
            <w:r>
              <w:t>Болгарский</w:t>
            </w:r>
          </w:p>
        </w:tc>
        <w:tc>
          <w:tcPr>
            <w:tcW w:w="1080" w:type="dxa"/>
            <w:shd w:val="clear" w:color="auto" w:fill="auto"/>
          </w:tcPr>
          <w:p w:rsidR="00917EDB" w:rsidRDefault="00917EDB" w:rsidP="00112684">
            <w:r>
              <w:t>1,10</w:t>
            </w:r>
          </w:p>
        </w:tc>
        <w:tc>
          <w:tcPr>
            <w:tcW w:w="3720" w:type="dxa"/>
            <w:shd w:val="clear" w:color="auto" w:fill="auto"/>
          </w:tcPr>
          <w:p w:rsidR="00917EDB" w:rsidRDefault="00917EDB" w:rsidP="00112684">
            <w:r>
              <w:t>Польский</w:t>
            </w:r>
          </w:p>
        </w:tc>
        <w:tc>
          <w:tcPr>
            <w:tcW w:w="960" w:type="dxa"/>
            <w:shd w:val="clear" w:color="auto" w:fill="auto"/>
          </w:tcPr>
          <w:p w:rsidR="00917EDB" w:rsidRDefault="00917EDB" w:rsidP="00112684">
            <w:r>
              <w:t>1,20</w:t>
            </w:r>
          </w:p>
        </w:tc>
      </w:tr>
      <w:tr w:rsidR="00917EDB" w:rsidTr="008B3F36">
        <w:tc>
          <w:tcPr>
            <w:tcW w:w="3240" w:type="dxa"/>
            <w:shd w:val="clear" w:color="auto" w:fill="auto"/>
          </w:tcPr>
          <w:p w:rsidR="00917EDB" w:rsidRDefault="00917EDB" w:rsidP="00112684">
            <w:r>
              <w:t>Венгерский</w:t>
            </w:r>
          </w:p>
        </w:tc>
        <w:tc>
          <w:tcPr>
            <w:tcW w:w="1080" w:type="dxa"/>
            <w:shd w:val="clear" w:color="auto" w:fill="auto"/>
          </w:tcPr>
          <w:p w:rsidR="00917EDB" w:rsidRDefault="00917EDB" w:rsidP="00112684">
            <w:r>
              <w:t>1,40</w:t>
            </w:r>
          </w:p>
        </w:tc>
        <w:tc>
          <w:tcPr>
            <w:tcW w:w="3720" w:type="dxa"/>
            <w:shd w:val="clear" w:color="auto" w:fill="auto"/>
          </w:tcPr>
          <w:p w:rsidR="00917EDB" w:rsidRDefault="00917EDB" w:rsidP="00112684">
            <w:r>
              <w:t>Португальский</w:t>
            </w:r>
          </w:p>
        </w:tc>
        <w:tc>
          <w:tcPr>
            <w:tcW w:w="960" w:type="dxa"/>
            <w:shd w:val="clear" w:color="auto" w:fill="auto"/>
          </w:tcPr>
          <w:p w:rsidR="00917EDB" w:rsidRDefault="00917EDB" w:rsidP="00112684">
            <w:r>
              <w:t>1,20</w:t>
            </w:r>
          </w:p>
        </w:tc>
      </w:tr>
      <w:tr w:rsidR="00917EDB" w:rsidTr="008B3F36">
        <w:tc>
          <w:tcPr>
            <w:tcW w:w="3240" w:type="dxa"/>
            <w:shd w:val="clear" w:color="auto" w:fill="auto"/>
          </w:tcPr>
          <w:p w:rsidR="00917EDB" w:rsidRDefault="00917EDB" w:rsidP="00112684">
            <w:r>
              <w:t>Голландский</w:t>
            </w:r>
          </w:p>
        </w:tc>
        <w:tc>
          <w:tcPr>
            <w:tcW w:w="1080" w:type="dxa"/>
            <w:shd w:val="clear" w:color="auto" w:fill="auto"/>
          </w:tcPr>
          <w:p w:rsidR="00917EDB" w:rsidRDefault="00917EDB" w:rsidP="00112684">
            <w:r>
              <w:t>1,20</w:t>
            </w:r>
          </w:p>
        </w:tc>
        <w:tc>
          <w:tcPr>
            <w:tcW w:w="3720" w:type="dxa"/>
            <w:shd w:val="clear" w:color="auto" w:fill="auto"/>
          </w:tcPr>
          <w:p w:rsidR="00917EDB" w:rsidRDefault="00917EDB" w:rsidP="00112684">
            <w:r>
              <w:t>Румынский</w:t>
            </w:r>
          </w:p>
        </w:tc>
        <w:tc>
          <w:tcPr>
            <w:tcW w:w="960" w:type="dxa"/>
            <w:shd w:val="clear" w:color="auto" w:fill="auto"/>
          </w:tcPr>
          <w:p w:rsidR="00917EDB" w:rsidRDefault="00917EDB" w:rsidP="00112684">
            <w:r>
              <w:t>1,10</w:t>
            </w:r>
          </w:p>
        </w:tc>
      </w:tr>
      <w:tr w:rsidR="00917EDB" w:rsidTr="008B3F36">
        <w:tc>
          <w:tcPr>
            <w:tcW w:w="3240" w:type="dxa"/>
            <w:shd w:val="clear" w:color="auto" w:fill="auto"/>
          </w:tcPr>
          <w:p w:rsidR="00917EDB" w:rsidRDefault="00917EDB" w:rsidP="00112684">
            <w:r>
              <w:t>Датский</w:t>
            </w:r>
          </w:p>
        </w:tc>
        <w:tc>
          <w:tcPr>
            <w:tcW w:w="1080" w:type="dxa"/>
            <w:shd w:val="clear" w:color="auto" w:fill="auto"/>
          </w:tcPr>
          <w:p w:rsidR="00917EDB" w:rsidRDefault="00917EDB" w:rsidP="00112684">
            <w:r>
              <w:t>1,30</w:t>
            </w:r>
          </w:p>
        </w:tc>
        <w:tc>
          <w:tcPr>
            <w:tcW w:w="3720" w:type="dxa"/>
            <w:shd w:val="clear" w:color="auto" w:fill="auto"/>
          </w:tcPr>
          <w:p w:rsidR="00917EDB" w:rsidRDefault="00917EDB" w:rsidP="00112684">
            <w:r>
              <w:t>Сербохорватский</w:t>
            </w:r>
          </w:p>
        </w:tc>
        <w:tc>
          <w:tcPr>
            <w:tcW w:w="960" w:type="dxa"/>
            <w:shd w:val="clear" w:color="auto" w:fill="auto"/>
          </w:tcPr>
          <w:p w:rsidR="00917EDB" w:rsidRDefault="00917EDB" w:rsidP="00112684">
            <w:r>
              <w:t>1,10</w:t>
            </w:r>
          </w:p>
        </w:tc>
      </w:tr>
      <w:tr w:rsidR="00917EDB" w:rsidTr="008B3F36">
        <w:tc>
          <w:tcPr>
            <w:tcW w:w="3240" w:type="dxa"/>
            <w:shd w:val="clear" w:color="auto" w:fill="auto"/>
          </w:tcPr>
          <w:p w:rsidR="00917EDB" w:rsidRDefault="00917EDB" w:rsidP="00112684">
            <w:r>
              <w:t>Испанский</w:t>
            </w:r>
          </w:p>
        </w:tc>
        <w:tc>
          <w:tcPr>
            <w:tcW w:w="1080" w:type="dxa"/>
            <w:shd w:val="clear" w:color="auto" w:fill="auto"/>
          </w:tcPr>
          <w:p w:rsidR="00917EDB" w:rsidRDefault="00917EDB" w:rsidP="00112684">
            <w:r>
              <w:t>1,20</w:t>
            </w:r>
          </w:p>
        </w:tc>
        <w:tc>
          <w:tcPr>
            <w:tcW w:w="3720" w:type="dxa"/>
            <w:shd w:val="clear" w:color="auto" w:fill="auto"/>
          </w:tcPr>
          <w:p w:rsidR="00917EDB" w:rsidRDefault="00917EDB" w:rsidP="00112684">
            <w:r>
              <w:t>Словацкий</w:t>
            </w:r>
          </w:p>
        </w:tc>
        <w:tc>
          <w:tcPr>
            <w:tcW w:w="960" w:type="dxa"/>
            <w:shd w:val="clear" w:color="auto" w:fill="auto"/>
          </w:tcPr>
          <w:p w:rsidR="00917EDB" w:rsidRDefault="00917EDB" w:rsidP="00112684">
            <w:r>
              <w:t>1,20</w:t>
            </w:r>
          </w:p>
        </w:tc>
      </w:tr>
      <w:tr w:rsidR="00917EDB" w:rsidTr="008B3F36">
        <w:tc>
          <w:tcPr>
            <w:tcW w:w="3240" w:type="dxa"/>
            <w:shd w:val="clear" w:color="auto" w:fill="auto"/>
          </w:tcPr>
          <w:p w:rsidR="00917EDB" w:rsidRDefault="00917EDB" w:rsidP="00112684">
            <w:r>
              <w:t>Итальянский</w:t>
            </w:r>
          </w:p>
        </w:tc>
        <w:tc>
          <w:tcPr>
            <w:tcW w:w="1080" w:type="dxa"/>
            <w:shd w:val="clear" w:color="auto" w:fill="auto"/>
          </w:tcPr>
          <w:p w:rsidR="00917EDB" w:rsidRDefault="00917EDB" w:rsidP="00112684">
            <w:r>
              <w:t>1,20</w:t>
            </w:r>
          </w:p>
        </w:tc>
        <w:tc>
          <w:tcPr>
            <w:tcW w:w="3720" w:type="dxa"/>
            <w:shd w:val="clear" w:color="auto" w:fill="auto"/>
          </w:tcPr>
          <w:p w:rsidR="00917EDB" w:rsidRDefault="00917EDB" w:rsidP="00112684">
            <w:r>
              <w:t>Финский</w:t>
            </w:r>
          </w:p>
        </w:tc>
        <w:tc>
          <w:tcPr>
            <w:tcW w:w="960" w:type="dxa"/>
            <w:shd w:val="clear" w:color="auto" w:fill="auto"/>
          </w:tcPr>
          <w:p w:rsidR="00917EDB" w:rsidRDefault="00917EDB" w:rsidP="00112684">
            <w:r>
              <w:t>1,40</w:t>
            </w:r>
          </w:p>
        </w:tc>
      </w:tr>
      <w:tr w:rsidR="00917EDB" w:rsidTr="008B3F36">
        <w:tc>
          <w:tcPr>
            <w:tcW w:w="3240" w:type="dxa"/>
            <w:shd w:val="clear" w:color="auto" w:fill="auto"/>
          </w:tcPr>
          <w:p w:rsidR="00917EDB" w:rsidRDefault="00917EDB" w:rsidP="00112684">
            <w:r>
              <w:t>Немецкий</w:t>
            </w:r>
          </w:p>
        </w:tc>
        <w:tc>
          <w:tcPr>
            <w:tcW w:w="1080" w:type="dxa"/>
            <w:shd w:val="clear" w:color="auto" w:fill="auto"/>
          </w:tcPr>
          <w:p w:rsidR="00917EDB" w:rsidRDefault="00917EDB" w:rsidP="00112684">
            <w:r>
              <w:t>1,20</w:t>
            </w:r>
          </w:p>
        </w:tc>
        <w:tc>
          <w:tcPr>
            <w:tcW w:w="3720" w:type="dxa"/>
            <w:shd w:val="clear" w:color="auto" w:fill="auto"/>
          </w:tcPr>
          <w:p w:rsidR="00917EDB" w:rsidRDefault="00917EDB" w:rsidP="00112684">
            <w:r>
              <w:t>Французский</w:t>
            </w:r>
          </w:p>
        </w:tc>
        <w:tc>
          <w:tcPr>
            <w:tcW w:w="960" w:type="dxa"/>
            <w:shd w:val="clear" w:color="auto" w:fill="auto"/>
          </w:tcPr>
          <w:p w:rsidR="00917EDB" w:rsidRDefault="00917EDB" w:rsidP="00112684">
            <w:r>
              <w:t>1,10</w:t>
            </w:r>
          </w:p>
        </w:tc>
      </w:tr>
    </w:tbl>
    <w:p w:rsidR="00917EDB" w:rsidRDefault="00917EDB" w:rsidP="00112684"/>
    <w:p w:rsidR="00B85680" w:rsidRPr="00E86B12" w:rsidRDefault="00B85680" w:rsidP="00112684">
      <w:proofErr w:type="gramStart"/>
      <w:r>
        <w:t xml:space="preserve">Определение объема текста формата </w:t>
      </w:r>
      <w:r>
        <w:rPr>
          <w:lang w:val="en-US"/>
        </w:rPr>
        <w:t>MS</w:t>
      </w:r>
      <w:r>
        <w:t xml:space="preserve"> </w:t>
      </w:r>
      <w:r>
        <w:rPr>
          <w:lang w:val="en-US"/>
        </w:rPr>
        <w:t>Word</w:t>
      </w:r>
      <w:r>
        <w:t xml:space="preserve"> производится с использованием соответств</w:t>
      </w:r>
      <w:r>
        <w:t>у</w:t>
      </w:r>
      <w:r>
        <w:t xml:space="preserve">ющей функции текстового редактора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Word</w:t>
      </w:r>
      <w:r>
        <w:t xml:space="preserve"> (меню «Сервис» </w:t>
      </w:r>
      <w:r>
        <w:rPr>
          <w:lang w:val="en-US"/>
        </w:rPr>
        <w:sym w:font="Wingdings" w:char="F0E0"/>
      </w:r>
      <w:r>
        <w:t xml:space="preserve"> «Статистика» или, соответственно, «</w:t>
      </w:r>
      <w:r>
        <w:rPr>
          <w:lang w:val="en-US"/>
        </w:rPr>
        <w:t>Tools</w:t>
      </w:r>
      <w:r>
        <w:t xml:space="preserve">» </w:t>
      </w:r>
      <w:r>
        <w:rPr>
          <w:lang w:val="en-US"/>
        </w:rPr>
        <w:sym w:font="Wingdings" w:char="F0E0"/>
      </w:r>
      <w:r>
        <w:t xml:space="preserve"> «</w:t>
      </w:r>
      <w:r>
        <w:rPr>
          <w:lang w:val="en-US"/>
        </w:rPr>
        <w:t>Word</w:t>
      </w:r>
      <w:r>
        <w:t xml:space="preserve"> </w:t>
      </w:r>
      <w:r>
        <w:rPr>
          <w:lang w:val="en-US"/>
        </w:rPr>
        <w:t>Count</w:t>
      </w:r>
      <w:r>
        <w:t>»)</w:t>
      </w:r>
      <w:r w:rsidR="00E86B12">
        <w:t xml:space="preserve"> (при этом надо осознавать, что методика компь</w:t>
      </w:r>
      <w:r w:rsidR="00E86B12">
        <w:t>ю</w:t>
      </w:r>
      <w:r w:rsidR="00E86B12">
        <w:t>терного подсчета отличается от традиционной, предписанной вышеупомянутыми нормати</w:t>
      </w:r>
      <w:r w:rsidR="00E86B12">
        <w:t>в</w:t>
      </w:r>
      <w:r w:rsidR="00E86B12">
        <w:t xml:space="preserve">ными документами, так как не учитывает, например, неполные строки, и имеет некоторые </w:t>
      </w:r>
      <w:r w:rsidR="00A57EB5">
        <w:t xml:space="preserve">дополнительные </w:t>
      </w:r>
      <w:r w:rsidR="00E86B12">
        <w:t>отличия).</w:t>
      </w:r>
      <w:proofErr w:type="gramEnd"/>
      <w:r>
        <w:t xml:space="preserve"> </w:t>
      </w:r>
      <w:r w:rsidR="007474FA">
        <w:t xml:space="preserve">Следует также иметь в виду, что </w:t>
      </w:r>
      <w:r w:rsidR="007474FA">
        <w:rPr>
          <w:lang w:val="en-US"/>
        </w:rPr>
        <w:t>MS</w:t>
      </w:r>
      <w:r w:rsidR="007474FA">
        <w:t xml:space="preserve"> </w:t>
      </w:r>
      <w:r w:rsidR="007474FA">
        <w:rPr>
          <w:lang w:val="en-US"/>
        </w:rPr>
        <w:t>Word</w:t>
      </w:r>
      <w:r w:rsidR="007474FA">
        <w:t xml:space="preserve"> не подсчитывает кол</w:t>
      </w:r>
      <w:r w:rsidR="007474FA">
        <w:t>и</w:t>
      </w:r>
      <w:r w:rsidR="007474FA">
        <w:t xml:space="preserve">чество знаков в колонтитулах и текстовых блоках. </w:t>
      </w:r>
      <w:r w:rsidR="00E86B12">
        <w:t xml:space="preserve">Для текстов, </w:t>
      </w:r>
      <w:r w:rsidR="00C709DC">
        <w:t>сохраненных</w:t>
      </w:r>
      <w:r w:rsidR="00E86B12">
        <w:t xml:space="preserve"> в иных форм</w:t>
      </w:r>
      <w:r w:rsidR="00E86B12">
        <w:t>а</w:t>
      </w:r>
      <w:r w:rsidR="00E86B12">
        <w:t>тах (</w:t>
      </w:r>
      <w:r w:rsidR="00E86B12">
        <w:rPr>
          <w:lang w:val="en-US"/>
        </w:rPr>
        <w:t>Microsoft</w:t>
      </w:r>
      <w:r w:rsidR="00E86B12">
        <w:t xml:space="preserve"> </w:t>
      </w:r>
      <w:r w:rsidR="00E86B12">
        <w:rPr>
          <w:lang w:val="en-US"/>
        </w:rPr>
        <w:t>Excel</w:t>
      </w:r>
      <w:r w:rsidR="00E86B12">
        <w:t>,</w:t>
      </w:r>
      <w:r w:rsidR="00E86B12" w:rsidRPr="00E86B12">
        <w:t xml:space="preserve"> </w:t>
      </w:r>
      <w:r w:rsidR="00E86B12">
        <w:rPr>
          <w:lang w:val="en-US"/>
        </w:rPr>
        <w:t>Microsoft</w:t>
      </w:r>
      <w:r w:rsidR="00E86B12">
        <w:t xml:space="preserve"> </w:t>
      </w:r>
      <w:r w:rsidR="00E86B12">
        <w:rPr>
          <w:lang w:val="en-US"/>
        </w:rPr>
        <w:t>Access</w:t>
      </w:r>
      <w:r w:rsidR="00AC242F">
        <w:t xml:space="preserve">, </w:t>
      </w:r>
      <w:r w:rsidR="00AC242F">
        <w:rPr>
          <w:lang w:val="en-US"/>
        </w:rPr>
        <w:t>Adobe</w:t>
      </w:r>
      <w:r w:rsidR="00AC242F">
        <w:t xml:space="preserve"> </w:t>
      </w:r>
      <w:r w:rsidR="00AC242F">
        <w:rPr>
          <w:lang w:val="en-US"/>
        </w:rPr>
        <w:t>Acrobat</w:t>
      </w:r>
      <w:r w:rsidR="00AC242F">
        <w:t xml:space="preserve"> с конвертацией текста в формат </w:t>
      </w:r>
      <w:r w:rsidR="00AC242F">
        <w:rPr>
          <w:lang w:val="en-US"/>
        </w:rPr>
        <w:t>RTF</w:t>
      </w:r>
      <w:r w:rsidR="00E86B12">
        <w:t>),</w:t>
      </w:r>
      <w:r w:rsidR="00E07CA1">
        <w:t xml:space="preserve"> </w:t>
      </w:r>
      <w:r w:rsidR="00E86B12">
        <w:t xml:space="preserve">можно рекомендовать перенос их в </w:t>
      </w:r>
      <w:r w:rsidR="00556F86">
        <w:rPr>
          <w:lang w:val="en-US"/>
        </w:rPr>
        <w:t>MS</w:t>
      </w:r>
      <w:r w:rsidR="00556F86">
        <w:t xml:space="preserve"> </w:t>
      </w:r>
      <w:r w:rsidR="00E86B12">
        <w:rPr>
          <w:lang w:val="en-US"/>
        </w:rPr>
        <w:t>Word</w:t>
      </w:r>
      <w:r w:rsidR="00E86B12">
        <w:t xml:space="preserve"> с последующим подсчетом по опи</w:t>
      </w:r>
      <w:r w:rsidR="00213B0C">
        <w:t>санному в</w:t>
      </w:r>
      <w:r w:rsidR="00213B0C">
        <w:t>ы</w:t>
      </w:r>
      <w:r w:rsidR="00213B0C">
        <w:t>ше сп</w:t>
      </w:r>
      <w:r w:rsidR="00213B0C">
        <w:t>о</w:t>
      </w:r>
      <w:r w:rsidR="00213B0C">
        <w:t>собу.</w:t>
      </w:r>
    </w:p>
    <w:p w:rsidR="00B85680" w:rsidRDefault="00B85680" w:rsidP="00112684"/>
    <w:p w:rsidR="005D2CD6" w:rsidRDefault="00AC242F" w:rsidP="00112684">
      <w:r>
        <w:lastRenderedPageBreak/>
        <w:t>В редакторе «</w:t>
      </w:r>
      <w:r w:rsidR="00B85680">
        <w:rPr>
          <w:lang w:val="en-US"/>
        </w:rPr>
        <w:t>Power</w:t>
      </w:r>
      <w:r w:rsidR="00B85680">
        <w:t xml:space="preserve"> </w:t>
      </w:r>
      <w:r w:rsidR="00B85680">
        <w:rPr>
          <w:lang w:val="en-US"/>
        </w:rPr>
        <w:t>Point</w:t>
      </w:r>
      <w:r w:rsidR="00B85680">
        <w:t xml:space="preserve">» подсчет </w:t>
      </w:r>
      <w:r>
        <w:t xml:space="preserve">слов </w:t>
      </w:r>
      <w:r w:rsidR="00B85680">
        <w:t xml:space="preserve">осуществляется с помощью функции «Файл» </w:t>
      </w:r>
      <w:r w:rsidR="00B85680">
        <w:rPr>
          <w:lang w:val="en-US"/>
        </w:rPr>
        <w:sym w:font="Wingdings" w:char="F0E0"/>
      </w:r>
      <w:r w:rsidR="00B85680">
        <w:t xml:space="preserve"> «Свойства» («</w:t>
      </w:r>
      <w:r w:rsidR="00B85680">
        <w:rPr>
          <w:lang w:val="en-US"/>
        </w:rPr>
        <w:t>File</w:t>
      </w:r>
      <w:r w:rsidR="00B85680">
        <w:t xml:space="preserve">» </w:t>
      </w:r>
      <w:r w:rsidR="00B85680">
        <w:rPr>
          <w:lang w:val="en-US"/>
        </w:rPr>
        <w:sym w:font="Wingdings" w:char="F0E0"/>
      </w:r>
      <w:r w:rsidR="00B85680">
        <w:t xml:space="preserve"> «</w:t>
      </w:r>
      <w:r w:rsidR="00B85680">
        <w:rPr>
          <w:lang w:val="en-US"/>
        </w:rPr>
        <w:t>Properties</w:t>
      </w:r>
      <w:r w:rsidR="00B85680">
        <w:t>»)</w:t>
      </w:r>
      <w:r>
        <w:t xml:space="preserve"> с последующим</w:t>
      </w:r>
      <w:r w:rsidR="00B85680">
        <w:t xml:space="preserve"> умножени</w:t>
      </w:r>
      <w:r w:rsidR="005D2CD6">
        <w:t>ем</w:t>
      </w:r>
      <w:r w:rsidR="00B85680">
        <w:t xml:space="preserve"> количества слов на 9 (</w:t>
      </w:r>
      <w:r>
        <w:t>эмп</w:t>
      </w:r>
      <w:r>
        <w:t>и</w:t>
      </w:r>
      <w:r>
        <w:t>рически выведенное</w:t>
      </w:r>
      <w:r w:rsidR="00B85680">
        <w:t xml:space="preserve"> среднее количество символов в русском слове с учетом одного пробела после него)</w:t>
      </w:r>
      <w:r w:rsidR="008B74EF">
        <w:rPr>
          <w:rStyle w:val="FootnoteReference"/>
        </w:rPr>
        <w:footnoteReference w:id="4"/>
      </w:r>
      <w:r>
        <w:t>.</w:t>
      </w:r>
      <w:r w:rsidR="00B85680">
        <w:t xml:space="preserve"> </w:t>
      </w:r>
      <w:r w:rsidR="00A37811">
        <w:t xml:space="preserve">Для </w:t>
      </w:r>
      <w:r w:rsidR="00646D84">
        <w:t>других</w:t>
      </w:r>
      <w:r w:rsidR="00A37811">
        <w:t xml:space="preserve"> языков </w:t>
      </w:r>
      <w:r w:rsidR="00646D84">
        <w:t xml:space="preserve">(или для других текстов) </w:t>
      </w:r>
      <w:r w:rsidR="00A37811">
        <w:t>это количество будет, конечно, различным.</w:t>
      </w:r>
    </w:p>
    <w:p w:rsidR="005D2CD6" w:rsidRDefault="005D2CD6" w:rsidP="00112684"/>
    <w:p w:rsidR="00B85680" w:rsidRDefault="00AC242F" w:rsidP="00112684">
      <w:r>
        <w:t xml:space="preserve">Однако определение </w:t>
      </w:r>
      <w:r w:rsidR="005D2CD6">
        <w:t>объема текста предложенными способами, к сожалению, не возможно для документов со сложным форматированием</w:t>
      </w:r>
      <w:r w:rsidR="008B74EF">
        <w:t>,</w:t>
      </w:r>
      <w:r w:rsidR="008B74EF" w:rsidRPr="008B74EF">
        <w:t xml:space="preserve"> </w:t>
      </w:r>
      <w:r w:rsidR="007474FA">
        <w:t xml:space="preserve">в которых имеются т.н. </w:t>
      </w:r>
      <w:r w:rsidR="008B74EF" w:rsidRPr="007474FA">
        <w:rPr>
          <w:i/>
          <w:lang w:val="en-US"/>
        </w:rPr>
        <w:t>text</w:t>
      </w:r>
      <w:r w:rsidR="008B74EF" w:rsidRPr="007474FA">
        <w:rPr>
          <w:i/>
        </w:rPr>
        <w:t xml:space="preserve"> </w:t>
      </w:r>
      <w:r w:rsidR="008B74EF" w:rsidRPr="007474FA">
        <w:rPr>
          <w:i/>
          <w:lang w:val="en-US"/>
        </w:rPr>
        <w:t>boxes</w:t>
      </w:r>
      <w:r w:rsidR="00646D84">
        <w:t xml:space="preserve"> и проч</w:t>
      </w:r>
      <w:r w:rsidR="005D2CD6">
        <w:t>. В таких случаях</w:t>
      </w:r>
      <w:r w:rsidR="008B74EF">
        <w:t xml:space="preserve"> необходимо использовать специальные макросы или </w:t>
      </w:r>
      <w:r w:rsidR="00213B0C">
        <w:t xml:space="preserve">специализированные программы </w:t>
      </w:r>
      <w:r w:rsidR="001A2505">
        <w:t>подсчета</w:t>
      </w:r>
      <w:r w:rsidR="00213B0C">
        <w:t xml:space="preserve"> знаков в тексте по согласованным между переводчиком и заказчиком алгоритмам подсчета</w:t>
      </w:r>
      <w:r w:rsidR="00DC62DB">
        <w:t xml:space="preserve">. </w:t>
      </w:r>
      <w:r w:rsidR="00213B0C">
        <w:t xml:space="preserve"> </w:t>
      </w:r>
      <w:r w:rsidR="00DC62DB">
        <w:t xml:space="preserve">В качестве возможного примера можно указать на </w:t>
      </w:r>
      <w:r w:rsidR="00306192">
        <w:t>программ</w:t>
      </w:r>
      <w:r w:rsidR="00DC62DB">
        <w:t>у</w:t>
      </w:r>
      <w:r w:rsidR="00306192">
        <w:t xml:space="preserve"> </w:t>
      </w:r>
      <w:r w:rsidR="00306192" w:rsidRPr="007474FA">
        <w:rPr>
          <w:i/>
          <w:lang w:val="en-US"/>
        </w:rPr>
        <w:t>Anycount</w:t>
      </w:r>
      <w:r w:rsidR="00213B0C">
        <w:t>.</w:t>
      </w:r>
    </w:p>
    <w:p w:rsidR="00AC242F" w:rsidRDefault="00AC242F" w:rsidP="00112684"/>
    <w:p w:rsidR="00B85680" w:rsidRDefault="00B85680" w:rsidP="00112684">
      <w:r>
        <w:t>Упоминание о том, что подсчет объема текста для перевода осуществляет</w:t>
      </w:r>
      <w:r w:rsidR="00646D84">
        <w:t>ся в символах с учетом пробелов</w:t>
      </w:r>
      <w:r>
        <w:t xml:space="preserve">, означает, что имеются в виду только </w:t>
      </w:r>
      <w:r w:rsidR="00646D84">
        <w:t xml:space="preserve">штатные </w:t>
      </w:r>
      <w:r>
        <w:t xml:space="preserve">пробелы между словами и строками. Переводчик должен уметь пользоваться средствами форматирования текстового редактора </w:t>
      </w:r>
      <w:r w:rsidR="007474FA">
        <w:rPr>
          <w:lang w:val="en-US"/>
        </w:rPr>
        <w:t>MS</w:t>
      </w:r>
      <w:r w:rsidR="007474FA">
        <w:t xml:space="preserve"> </w:t>
      </w:r>
      <w:r>
        <w:rPr>
          <w:lang w:val="en-US"/>
        </w:rPr>
        <w:t>Word</w:t>
      </w:r>
      <w:r>
        <w:t xml:space="preserve"> (или иных, применяемых им в работе) для оформления абзацев и выра</w:t>
      </w:r>
      <w:r>
        <w:t>в</w:t>
      </w:r>
      <w:r>
        <w:t>нивания текста по ширине, по центру страницы, по левому и правому краям. Недопустимо использование знаков табуляции и пробела для форм</w:t>
      </w:r>
      <w:r>
        <w:t>а</w:t>
      </w:r>
      <w:r>
        <w:t>тирования текста. В тексте на русском языке не должны стоять рядом два знака пробела</w:t>
      </w:r>
      <w:r w:rsidR="00213B0C">
        <w:t xml:space="preserve"> (в отличие от текста на американском а</w:t>
      </w:r>
      <w:r w:rsidR="00213B0C">
        <w:t>н</w:t>
      </w:r>
      <w:r w:rsidR="00213B0C">
        <w:t>глийском, например)</w:t>
      </w:r>
      <w:r>
        <w:t>. При подсчете суммы вознаграждения избыточные знаки должны уд</w:t>
      </w:r>
      <w:r>
        <w:t>а</w:t>
      </w:r>
      <w:r>
        <w:t>ляться из текста и не включаться в общий подсчет.</w:t>
      </w:r>
    </w:p>
    <w:p w:rsidR="00A37811" w:rsidRDefault="00A37811" w:rsidP="00112684"/>
    <w:p w:rsidR="00A37811" w:rsidRDefault="00A37811" w:rsidP="00112684">
      <w:r>
        <w:t>В ряде случаев при представлении исходного текста в виде бумажной копии</w:t>
      </w:r>
      <w:r w:rsidRPr="00A37811">
        <w:t xml:space="preserve"> подсчет знаков </w:t>
      </w:r>
      <w:r>
        <w:t xml:space="preserve">целесообразно производить </w:t>
      </w:r>
      <w:r w:rsidRPr="00A37811">
        <w:t>вручную, а при больших объемах текста – на основе подсчета вручную количества знаков на выборке из нескольких страниц и расчета общего объема по среднему количеству знаков в стран</w:t>
      </w:r>
      <w:r w:rsidRPr="00A37811">
        <w:t>и</w:t>
      </w:r>
      <w:r w:rsidRPr="00A37811">
        <w:t>це.</w:t>
      </w:r>
    </w:p>
    <w:p w:rsidR="008B74EF" w:rsidRDefault="008B74EF" w:rsidP="00112684"/>
    <w:p w:rsidR="008B74EF" w:rsidRDefault="008B74EF" w:rsidP="00112684">
      <w:r>
        <w:t>Объем перевода с иностранных языков</w:t>
      </w:r>
      <w:r w:rsidR="002F5778">
        <w:t xml:space="preserve"> с письменностью на основе латинского алфавита</w:t>
      </w:r>
      <w:r>
        <w:t xml:space="preserve"> на русский и с русского на </w:t>
      </w:r>
      <w:proofErr w:type="gramStart"/>
      <w:r>
        <w:t>иностранные</w:t>
      </w:r>
      <w:proofErr w:type="gramEnd"/>
      <w:r>
        <w:t xml:space="preserve"> </w:t>
      </w:r>
      <w:r w:rsidR="002F5778">
        <w:t>может определяться как по исходному тексту, так и по тексту перевода</w:t>
      </w:r>
      <w:r>
        <w:t>. Исключение составляют переводы на языки, в письменности которых и</w:t>
      </w:r>
      <w:r>
        <w:t>с</w:t>
      </w:r>
      <w:r>
        <w:t xml:space="preserve">пользуются иероглифы, </w:t>
      </w:r>
      <w:r w:rsidR="00213B0C">
        <w:t>арабская «</w:t>
      </w:r>
      <w:r>
        <w:t>вязь</w:t>
      </w:r>
      <w:r w:rsidR="00213B0C">
        <w:t>»</w:t>
      </w:r>
      <w:r>
        <w:t xml:space="preserve"> и деванагари – объем таких работ </w:t>
      </w:r>
      <w:r w:rsidR="002F5778" w:rsidRPr="002F5778">
        <w:t>определя</w:t>
      </w:r>
      <w:r w:rsidR="002F5778">
        <w:t>е</w:t>
      </w:r>
      <w:r w:rsidR="002F5778" w:rsidRPr="002F5778">
        <w:t xml:space="preserve">тся </w:t>
      </w:r>
      <w:r>
        <w:t>по русскому оригин</w:t>
      </w:r>
      <w:r>
        <w:t>а</w:t>
      </w:r>
      <w:r>
        <w:t>лу.</w:t>
      </w:r>
    </w:p>
    <w:p w:rsidR="008B74EF" w:rsidRDefault="008B74EF" w:rsidP="00112684"/>
    <w:p w:rsidR="00B85680" w:rsidRPr="00A37811" w:rsidRDefault="00B85680" w:rsidP="00112684">
      <w:r w:rsidRPr="00A37811">
        <w:t>Определение объема текста для редактирования</w:t>
      </w:r>
      <w:r w:rsidRPr="00A37811">
        <w:rPr>
          <w:b/>
        </w:rPr>
        <w:t xml:space="preserve"> </w:t>
      </w:r>
      <w:r w:rsidRPr="00A37811">
        <w:t>всегда осуществляется по оригин</w:t>
      </w:r>
      <w:r w:rsidRPr="00A37811">
        <w:t>а</w:t>
      </w:r>
      <w:r w:rsidRPr="00A37811">
        <w:t>лу.</w:t>
      </w:r>
      <w:r w:rsidR="005A19E2">
        <w:t xml:space="preserve"> </w:t>
      </w:r>
    </w:p>
    <w:p w:rsidR="008B74EF" w:rsidRDefault="008B74EF" w:rsidP="00112684">
      <w:pPr>
        <w:rPr>
          <w:b/>
          <w:sz w:val="20"/>
          <w:szCs w:val="20"/>
        </w:rPr>
      </w:pPr>
    </w:p>
    <w:p w:rsidR="00EB2601" w:rsidRPr="0087273B" w:rsidRDefault="00A37811" w:rsidP="0087273B">
      <w:pPr>
        <w:rPr>
          <w:rFonts w:ascii="Tahoma" w:hAnsi="Tahoma" w:cs="Tahoma"/>
          <w:color w:val="008080"/>
          <w:szCs w:val="28"/>
        </w:rPr>
      </w:pPr>
      <w:r>
        <w:t xml:space="preserve">В тех случаях, когда представитель заказчика испытывает затруднения с пониманием </w:t>
      </w:r>
      <w:r w:rsidR="000C5E8F">
        <w:t>прич</w:t>
      </w:r>
      <w:r w:rsidR="000C5E8F">
        <w:t>и</w:t>
      </w:r>
      <w:r w:rsidR="000C5E8F">
        <w:t>ны включения в расчеты пробелов</w:t>
      </w:r>
      <w:r w:rsidR="00556F86">
        <w:rPr>
          <w:rStyle w:val="FootnoteReference"/>
        </w:rPr>
        <w:footnoteReference w:id="5"/>
      </w:r>
      <w:r>
        <w:t xml:space="preserve"> при подсчете объема работы, рекомендуется предлагать</w:t>
      </w:r>
      <w:r w:rsidR="00213B0C" w:rsidRPr="00213B0C">
        <w:t xml:space="preserve"> </w:t>
      </w:r>
      <w:r w:rsidR="00213B0C">
        <w:t>заказчику</w:t>
      </w:r>
      <w:r>
        <w:t xml:space="preserve"> оценивать </w:t>
      </w:r>
      <w:r w:rsidR="000C5E8F">
        <w:t xml:space="preserve">объем работы </w:t>
      </w:r>
      <w:r>
        <w:t xml:space="preserve">без пробелов </w:t>
      </w:r>
      <w:r w:rsidR="000C5E8F">
        <w:t xml:space="preserve">с пропорциональным повышением </w:t>
      </w:r>
      <w:r>
        <w:t>ставк</w:t>
      </w:r>
      <w:r w:rsidR="000C5E8F">
        <w:t>и</w:t>
      </w:r>
      <w:r>
        <w:t xml:space="preserve"> вознаграждения, удал</w:t>
      </w:r>
      <w:r w:rsidR="000C5E8F">
        <w:t>ением</w:t>
      </w:r>
      <w:r>
        <w:t xml:space="preserve"> пробел</w:t>
      </w:r>
      <w:r w:rsidR="000C5E8F">
        <w:t>ов</w:t>
      </w:r>
      <w:r>
        <w:t xml:space="preserve"> из переводного текста и переда</w:t>
      </w:r>
      <w:r w:rsidR="000C5E8F">
        <w:t>че</w:t>
      </w:r>
      <w:r>
        <w:t xml:space="preserve"> его заказчику в соо</w:t>
      </w:r>
      <w:r>
        <w:t>т</w:t>
      </w:r>
      <w:r>
        <w:t>ветс</w:t>
      </w:r>
      <w:r>
        <w:t>т</w:t>
      </w:r>
      <w:r>
        <w:t>вии с его предпочтениями</w:t>
      </w:r>
      <w:r w:rsidR="00556F86">
        <w:t xml:space="preserve"> – без пробелов</w:t>
      </w:r>
      <w:r w:rsidR="002F5778">
        <w:t>.</w:t>
      </w:r>
      <w:bookmarkStart w:id="1" w:name="_GoBack"/>
      <w:bookmarkEnd w:id="0"/>
      <w:bookmarkEnd w:id="1"/>
    </w:p>
    <w:sectPr w:rsidR="00EB2601" w:rsidRPr="0087273B" w:rsidSect="00D5590E">
      <w:headerReference w:type="default" r:id="rId9"/>
      <w:footerReference w:type="even" r:id="rId10"/>
      <w:footerReference w:type="default" r:id="rId11"/>
      <w:pgSz w:w="11906" w:h="16838" w:code="9"/>
      <w:pgMar w:top="1440" w:right="1134" w:bottom="1440" w:left="1134" w:header="720" w:footer="8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6B2" w:rsidRDefault="007826B2">
      <w:r>
        <w:separator/>
      </w:r>
    </w:p>
  </w:endnote>
  <w:endnote w:type="continuationSeparator" w:id="0">
    <w:p w:rsidR="007826B2" w:rsidRDefault="00782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WINCTT">
    <w:altName w:val="Arial"/>
    <w:charset w:val="00"/>
    <w:family w:val="swiss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505" w:rsidRDefault="001A2505" w:rsidP="00633A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2505" w:rsidRDefault="001A2505" w:rsidP="00633A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505" w:rsidRDefault="001A2505" w:rsidP="00633A5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273B">
      <w:rPr>
        <w:rStyle w:val="PageNumber"/>
        <w:noProof/>
      </w:rPr>
      <w:t>4</w:t>
    </w:r>
    <w:r>
      <w:rPr>
        <w:rStyle w:val="PageNumber"/>
      </w:rPr>
      <w:fldChar w:fldCharType="end"/>
    </w:r>
  </w:p>
  <w:p w:rsidR="001A2505" w:rsidRDefault="001A2505" w:rsidP="00633A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6B2" w:rsidRDefault="007826B2">
      <w:r>
        <w:separator/>
      </w:r>
    </w:p>
  </w:footnote>
  <w:footnote w:type="continuationSeparator" w:id="0">
    <w:p w:rsidR="007826B2" w:rsidRDefault="007826B2">
      <w:r>
        <w:continuationSeparator/>
      </w:r>
    </w:p>
  </w:footnote>
  <w:footnote w:id="1">
    <w:p w:rsidR="0087273B" w:rsidRDefault="0087273B">
      <w:pPr>
        <w:pStyle w:val="FootnoteText"/>
      </w:pPr>
      <w:r>
        <w:rPr>
          <w:rStyle w:val="FootnoteReference"/>
        </w:rPr>
        <w:footnoteRef/>
      </w:r>
      <w:r>
        <w:t xml:space="preserve"> Т.н. «эффективное слово» при работе в программе типа «Традос».</w:t>
      </w:r>
    </w:p>
  </w:footnote>
  <w:footnote w:id="2">
    <w:p w:rsidR="001A2505" w:rsidRPr="00112684" w:rsidRDefault="001A2505">
      <w:pPr>
        <w:pStyle w:val="FootnoteText"/>
      </w:pPr>
      <w:r>
        <w:rPr>
          <w:rStyle w:val="FootnoteReference"/>
        </w:rPr>
        <w:footnoteRef/>
      </w:r>
      <w:r>
        <w:t xml:space="preserve"> «Объективность» зависит от алгоритма подсчета, примененно</w:t>
      </w:r>
      <w:r w:rsidR="00324CE9">
        <w:t>го</w:t>
      </w:r>
      <w:r>
        <w:t xml:space="preserve"> в программном обеспечении. На рынке им</w:t>
      </w:r>
      <w:r>
        <w:t>е</w:t>
      </w:r>
      <w:r>
        <w:t>ются программы, позволяющие с высокой степенью точности подсчитать все знаки в тексте.</w:t>
      </w:r>
    </w:p>
  </w:footnote>
  <w:footnote w:id="3">
    <w:p w:rsidR="001A2505" w:rsidRDefault="001A2505">
      <w:pPr>
        <w:pStyle w:val="FootnoteText"/>
      </w:pPr>
      <w:r>
        <w:rPr>
          <w:rStyle w:val="FootnoteReference"/>
        </w:rPr>
        <w:footnoteRef/>
      </w:r>
      <w:r>
        <w:t xml:space="preserve"> «Инструкция…» является действующей, несмотря на </w:t>
      </w:r>
      <w:r w:rsidR="00324CE9">
        <w:t>ее</w:t>
      </w:r>
      <w:r>
        <w:t xml:space="preserve"> почтенный возраст.</w:t>
      </w:r>
    </w:p>
  </w:footnote>
  <w:footnote w:id="4">
    <w:p w:rsidR="001A2505" w:rsidRDefault="001A2505" w:rsidP="00556F86">
      <w:pPr>
        <w:pStyle w:val="FootnoteText"/>
        <w:jc w:val="left"/>
      </w:pPr>
      <w:r>
        <w:rPr>
          <w:rStyle w:val="FootnoteReference"/>
        </w:rPr>
        <w:footnoteRef/>
      </w:r>
      <w:r>
        <w:t xml:space="preserve"> При определении вознаграждения за перевод «слайдов» в редакторе «</w:t>
      </w:r>
      <w:r>
        <w:rPr>
          <w:lang w:val="en-US"/>
        </w:rPr>
        <w:t>Power</w:t>
      </w:r>
      <w:r>
        <w:t xml:space="preserve"> </w:t>
      </w:r>
      <w:r>
        <w:rPr>
          <w:lang w:val="en-US"/>
        </w:rPr>
        <w:t>Point</w:t>
      </w:r>
      <w:r>
        <w:t>» необходимо, конечно, ос</w:t>
      </w:r>
      <w:r>
        <w:t>о</w:t>
      </w:r>
      <w:r>
        <w:t xml:space="preserve">знавать, что простой подсчет знаков не может являться </w:t>
      </w:r>
      <w:r w:rsidRPr="00213B0C">
        <w:rPr>
          <w:u w:val="single"/>
        </w:rPr>
        <w:t>единственной</w:t>
      </w:r>
      <w:r>
        <w:t xml:space="preserve"> основой для расчетов; н</w:t>
      </w:r>
      <w:r>
        <w:t>е</w:t>
      </w:r>
      <w:r>
        <w:t>обходимо учесть трудозатраты на помещение переведенного текста в отведенное для него место на «слайде», которое первон</w:t>
      </w:r>
      <w:r>
        <w:t>а</w:t>
      </w:r>
      <w:r>
        <w:t xml:space="preserve">чально занимал более короткий (как правило) иноязычный текст. </w:t>
      </w:r>
      <w:r w:rsidRPr="00213B0C">
        <w:rPr>
          <w:b/>
        </w:rPr>
        <w:t>Такие трудозатраты в несколько раз выше, чем усилия/время, необходимые для самого перевода</w:t>
      </w:r>
      <w:r>
        <w:t>. Поэтому можно рекомендовать почасовую ставку для оплаты перевода таких те</w:t>
      </w:r>
      <w:r>
        <w:t>к</w:t>
      </w:r>
      <w:r>
        <w:t xml:space="preserve">стов. </w:t>
      </w:r>
    </w:p>
  </w:footnote>
  <w:footnote w:id="5">
    <w:p w:rsidR="00556F86" w:rsidRDefault="00556F86" w:rsidP="00556F86">
      <w:pPr>
        <w:pStyle w:val="FootnoteText"/>
        <w:jc w:val="left"/>
      </w:pPr>
      <w:r>
        <w:rPr>
          <w:rStyle w:val="FootnoteReference"/>
        </w:rPr>
        <w:footnoteRef/>
      </w:r>
      <w:r>
        <w:t xml:space="preserve"> Понятно, что пробел – такой же значащий символ письменного текста, как и любая буква или знак препин</w:t>
      </w:r>
      <w:r>
        <w:t>а</w:t>
      </w:r>
      <w:r>
        <w:t>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58B" w:rsidRDefault="00751727" w:rsidP="00751727">
    <w:pPr>
      <w:pStyle w:val="Header"/>
      <w:jc w:val="right"/>
    </w:pPr>
    <w:r w:rsidRPr="00CF5A35">
      <w:rPr>
        <w:rFonts w:ascii="Georgia" w:hAnsi="Georgia"/>
        <w:b/>
        <w:i/>
        <w:sz w:val="16"/>
        <w:szCs w:val="16"/>
      </w:rPr>
      <w:t>Письменный перевод – Рекомендации переводчику</w:t>
    </w:r>
    <w:r>
      <w:rPr>
        <w:rFonts w:ascii="Georgia" w:hAnsi="Georgia"/>
        <w:b/>
        <w:i/>
        <w:sz w:val="16"/>
        <w:szCs w:val="16"/>
      </w:rPr>
      <w:t>,</w:t>
    </w:r>
    <w:r w:rsidRPr="00CF5A35">
      <w:rPr>
        <w:rFonts w:ascii="Georgia" w:hAnsi="Georgia"/>
        <w:b/>
        <w:i/>
        <w:sz w:val="16"/>
        <w:szCs w:val="16"/>
      </w:rPr>
      <w:t xml:space="preserve"> заказчику</w:t>
    </w:r>
    <w:r>
      <w:rPr>
        <w:rFonts w:ascii="Georgia" w:hAnsi="Georgia"/>
        <w:b/>
        <w:i/>
        <w:sz w:val="16"/>
        <w:szCs w:val="16"/>
      </w:rPr>
      <w:t xml:space="preserve"> и редактору, </w:t>
    </w:r>
    <w:r w:rsidR="0087273B">
      <w:rPr>
        <w:rFonts w:ascii="Georgia" w:hAnsi="Georgia"/>
        <w:b/>
        <w:i/>
        <w:sz w:val="16"/>
        <w:szCs w:val="16"/>
      </w:rPr>
      <w:t>3</w:t>
    </w:r>
    <w:r>
      <w:rPr>
        <w:rFonts w:ascii="Georgia" w:hAnsi="Georgia"/>
        <w:b/>
        <w:i/>
        <w:sz w:val="16"/>
        <w:szCs w:val="16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036A"/>
    <w:multiLevelType w:val="hybridMultilevel"/>
    <w:tmpl w:val="44E2025E"/>
    <w:lvl w:ilvl="0" w:tplc="BDD2BF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E87142"/>
    <w:multiLevelType w:val="hybridMultilevel"/>
    <w:tmpl w:val="7FAC4A4E"/>
    <w:lvl w:ilvl="0" w:tplc="2D0EC6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55181E"/>
    <w:multiLevelType w:val="hybridMultilevel"/>
    <w:tmpl w:val="D46CCA4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7368E2"/>
    <w:multiLevelType w:val="multilevel"/>
    <w:tmpl w:val="44E2025E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611BF0"/>
    <w:multiLevelType w:val="hybridMultilevel"/>
    <w:tmpl w:val="ED6CD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A7153D"/>
    <w:multiLevelType w:val="hybridMultilevel"/>
    <w:tmpl w:val="F47A8CB6"/>
    <w:lvl w:ilvl="0" w:tplc="BDD2BF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F55D1B"/>
    <w:multiLevelType w:val="hybridMultilevel"/>
    <w:tmpl w:val="210AD84C"/>
    <w:lvl w:ilvl="0" w:tplc="042ED91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BE4101"/>
    <w:multiLevelType w:val="hybridMultilevel"/>
    <w:tmpl w:val="22B87428"/>
    <w:lvl w:ilvl="0" w:tplc="2FC4BF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A73B42"/>
    <w:multiLevelType w:val="hybridMultilevel"/>
    <w:tmpl w:val="1CF0A9A4"/>
    <w:lvl w:ilvl="0" w:tplc="A14A1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10"/>
    <w:rsid w:val="000343AC"/>
    <w:rsid w:val="000C5E8F"/>
    <w:rsid w:val="000D64CB"/>
    <w:rsid w:val="000E62EA"/>
    <w:rsid w:val="000F5BE4"/>
    <w:rsid w:val="00112684"/>
    <w:rsid w:val="001665E0"/>
    <w:rsid w:val="001A2505"/>
    <w:rsid w:val="001F6E7A"/>
    <w:rsid w:val="00207956"/>
    <w:rsid w:val="00213B0C"/>
    <w:rsid w:val="00254BA0"/>
    <w:rsid w:val="002D4391"/>
    <w:rsid w:val="002D592B"/>
    <w:rsid w:val="002F3536"/>
    <w:rsid w:val="002F5778"/>
    <w:rsid w:val="00306192"/>
    <w:rsid w:val="00324CE9"/>
    <w:rsid w:val="0038310A"/>
    <w:rsid w:val="003912FE"/>
    <w:rsid w:val="00443CE5"/>
    <w:rsid w:val="00480A07"/>
    <w:rsid w:val="0048152C"/>
    <w:rsid w:val="00481F17"/>
    <w:rsid w:val="004A3F0B"/>
    <w:rsid w:val="004C7614"/>
    <w:rsid w:val="004F56F1"/>
    <w:rsid w:val="00537367"/>
    <w:rsid w:val="00552644"/>
    <w:rsid w:val="00556F86"/>
    <w:rsid w:val="00590230"/>
    <w:rsid w:val="005A19E2"/>
    <w:rsid w:val="005D2CD6"/>
    <w:rsid w:val="005F366C"/>
    <w:rsid w:val="00601BA4"/>
    <w:rsid w:val="00622175"/>
    <w:rsid w:val="00633A50"/>
    <w:rsid w:val="006341A3"/>
    <w:rsid w:val="00646D84"/>
    <w:rsid w:val="006504A3"/>
    <w:rsid w:val="00667CFA"/>
    <w:rsid w:val="006713E6"/>
    <w:rsid w:val="006A278A"/>
    <w:rsid w:val="00702DF5"/>
    <w:rsid w:val="00711026"/>
    <w:rsid w:val="00717DB3"/>
    <w:rsid w:val="00744906"/>
    <w:rsid w:val="007474FA"/>
    <w:rsid w:val="00751727"/>
    <w:rsid w:val="007826B2"/>
    <w:rsid w:val="007D7D3D"/>
    <w:rsid w:val="007E5478"/>
    <w:rsid w:val="007F0EC5"/>
    <w:rsid w:val="008013F1"/>
    <w:rsid w:val="008053BB"/>
    <w:rsid w:val="00806C29"/>
    <w:rsid w:val="0087273B"/>
    <w:rsid w:val="0087364D"/>
    <w:rsid w:val="008B3F36"/>
    <w:rsid w:val="008B74EF"/>
    <w:rsid w:val="008E43D8"/>
    <w:rsid w:val="009032E4"/>
    <w:rsid w:val="00917EDB"/>
    <w:rsid w:val="0096058B"/>
    <w:rsid w:val="009B4A10"/>
    <w:rsid w:val="009D6BF8"/>
    <w:rsid w:val="00A0463F"/>
    <w:rsid w:val="00A307EF"/>
    <w:rsid w:val="00A37811"/>
    <w:rsid w:val="00A57EB5"/>
    <w:rsid w:val="00AA10C8"/>
    <w:rsid w:val="00AB21E9"/>
    <w:rsid w:val="00AC242F"/>
    <w:rsid w:val="00AC514B"/>
    <w:rsid w:val="00AD6634"/>
    <w:rsid w:val="00B67A98"/>
    <w:rsid w:val="00B85680"/>
    <w:rsid w:val="00B86247"/>
    <w:rsid w:val="00B9211C"/>
    <w:rsid w:val="00BD7A73"/>
    <w:rsid w:val="00BF34F4"/>
    <w:rsid w:val="00C023AA"/>
    <w:rsid w:val="00C30967"/>
    <w:rsid w:val="00C34924"/>
    <w:rsid w:val="00C709DC"/>
    <w:rsid w:val="00C82504"/>
    <w:rsid w:val="00CC4BFF"/>
    <w:rsid w:val="00CF5681"/>
    <w:rsid w:val="00D11596"/>
    <w:rsid w:val="00D5590E"/>
    <w:rsid w:val="00D62917"/>
    <w:rsid w:val="00D81C1A"/>
    <w:rsid w:val="00D8689B"/>
    <w:rsid w:val="00DC62DB"/>
    <w:rsid w:val="00DD50F0"/>
    <w:rsid w:val="00E00939"/>
    <w:rsid w:val="00E07CA1"/>
    <w:rsid w:val="00E2007A"/>
    <w:rsid w:val="00E22539"/>
    <w:rsid w:val="00E31BB2"/>
    <w:rsid w:val="00E530FC"/>
    <w:rsid w:val="00E86B12"/>
    <w:rsid w:val="00EA0425"/>
    <w:rsid w:val="00EA7450"/>
    <w:rsid w:val="00EB2601"/>
    <w:rsid w:val="00F21933"/>
    <w:rsid w:val="00F91B2E"/>
    <w:rsid w:val="00FE6272"/>
    <w:rsid w:val="00FF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0230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qFormat/>
    <w:rsid w:val="00590230"/>
    <w:pPr>
      <w:keepNext/>
      <w:outlineLvl w:val="2"/>
    </w:pPr>
    <w:rPr>
      <w:b/>
      <w:bCs/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590230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33A50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633A50"/>
  </w:style>
  <w:style w:type="paragraph" w:styleId="Header">
    <w:name w:val="header"/>
    <w:basedOn w:val="Normal"/>
    <w:rsid w:val="00AB21E9"/>
    <w:pPr>
      <w:tabs>
        <w:tab w:val="center" w:pos="4677"/>
        <w:tab w:val="right" w:pos="9355"/>
      </w:tabs>
    </w:pPr>
  </w:style>
  <w:style w:type="character" w:styleId="FootnoteReference">
    <w:name w:val="footnote reference"/>
    <w:semiHidden/>
    <w:rsid w:val="004F56F1"/>
    <w:rPr>
      <w:vertAlign w:val="superscript"/>
    </w:rPr>
  </w:style>
  <w:style w:type="paragraph" w:styleId="FootnoteText">
    <w:name w:val="footnote text"/>
    <w:basedOn w:val="Normal"/>
    <w:semiHidden/>
    <w:rsid w:val="004F56F1"/>
    <w:pPr>
      <w:jc w:val="both"/>
    </w:pPr>
    <w:rPr>
      <w:sz w:val="20"/>
      <w:szCs w:val="20"/>
    </w:rPr>
  </w:style>
  <w:style w:type="table" w:styleId="TableGrid">
    <w:name w:val="Table Grid"/>
    <w:basedOn w:val="TableNormal"/>
    <w:rsid w:val="003912F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67CFA"/>
    <w:rPr>
      <w:rFonts w:ascii="PragmaticaWINCTT" w:hAnsi="PragmaticaWINCTT"/>
      <w:sz w:val="22"/>
    </w:rPr>
  </w:style>
  <w:style w:type="character" w:styleId="CommentReference">
    <w:name w:val="annotation reference"/>
    <w:semiHidden/>
    <w:rsid w:val="00744906"/>
    <w:rPr>
      <w:sz w:val="16"/>
      <w:szCs w:val="16"/>
    </w:rPr>
  </w:style>
  <w:style w:type="paragraph" w:styleId="HTMLPreformatted">
    <w:name w:val="HTML Preformatted"/>
    <w:basedOn w:val="Normal"/>
    <w:rsid w:val="0080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0230"/>
    <w:rPr>
      <w:sz w:val="24"/>
      <w:szCs w:val="24"/>
      <w:lang w:val="ru-RU" w:eastAsia="ru-RU"/>
    </w:rPr>
  </w:style>
  <w:style w:type="paragraph" w:styleId="Heading3">
    <w:name w:val="heading 3"/>
    <w:basedOn w:val="Normal"/>
    <w:next w:val="Normal"/>
    <w:qFormat/>
    <w:rsid w:val="00590230"/>
    <w:pPr>
      <w:keepNext/>
      <w:outlineLvl w:val="2"/>
    </w:pPr>
    <w:rPr>
      <w:b/>
      <w:bCs/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590230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633A50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633A50"/>
  </w:style>
  <w:style w:type="paragraph" w:styleId="Header">
    <w:name w:val="header"/>
    <w:basedOn w:val="Normal"/>
    <w:rsid w:val="00AB21E9"/>
    <w:pPr>
      <w:tabs>
        <w:tab w:val="center" w:pos="4677"/>
        <w:tab w:val="right" w:pos="9355"/>
      </w:tabs>
    </w:pPr>
  </w:style>
  <w:style w:type="character" w:styleId="FootnoteReference">
    <w:name w:val="footnote reference"/>
    <w:semiHidden/>
    <w:rsid w:val="004F56F1"/>
    <w:rPr>
      <w:vertAlign w:val="superscript"/>
    </w:rPr>
  </w:style>
  <w:style w:type="paragraph" w:styleId="FootnoteText">
    <w:name w:val="footnote text"/>
    <w:basedOn w:val="Normal"/>
    <w:semiHidden/>
    <w:rsid w:val="004F56F1"/>
    <w:pPr>
      <w:jc w:val="both"/>
    </w:pPr>
    <w:rPr>
      <w:sz w:val="20"/>
      <w:szCs w:val="20"/>
    </w:rPr>
  </w:style>
  <w:style w:type="table" w:styleId="TableGrid">
    <w:name w:val="Table Grid"/>
    <w:basedOn w:val="TableNormal"/>
    <w:rsid w:val="003912F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67CFA"/>
    <w:rPr>
      <w:rFonts w:ascii="PragmaticaWINCTT" w:hAnsi="PragmaticaWINCTT"/>
      <w:sz w:val="22"/>
    </w:rPr>
  </w:style>
  <w:style w:type="character" w:styleId="CommentReference">
    <w:name w:val="annotation reference"/>
    <w:semiHidden/>
    <w:rsid w:val="00744906"/>
    <w:rPr>
      <w:sz w:val="16"/>
      <w:szCs w:val="16"/>
    </w:rPr>
  </w:style>
  <w:style w:type="paragraph" w:styleId="HTMLPreformatted">
    <w:name w:val="HTML Preformatted"/>
    <w:basedOn w:val="Normal"/>
    <w:rsid w:val="0080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42AC9-16BE-4BA5-99B3-21541FF41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№ 2</vt:lpstr>
    </vt:vector>
  </TitlesOfParts>
  <Company>Союз переводчиков России</Company>
  <LinksUpToDate>false</LinksUpToDate>
  <CharactersWithSpaces>11039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№ 2</dc:title>
  <dc:creator>Николай Дупленский</dc:creator>
  <dc:description>Редакция 1.01</dc:description>
  <cp:lastModifiedBy>Nikolai</cp:lastModifiedBy>
  <cp:revision>2</cp:revision>
  <cp:lastPrinted>2004-05-11T11:06:00Z</cp:lastPrinted>
  <dcterms:created xsi:type="dcterms:W3CDTF">2015-05-24T06:35:00Z</dcterms:created>
  <dcterms:modified xsi:type="dcterms:W3CDTF">2015-05-24T06:35:00Z</dcterms:modified>
</cp:coreProperties>
</file>